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C443B4">
        <w:rPr>
          <w:rFonts w:ascii="Arial" w:eastAsia="Arial" w:hAnsi="Arial"/>
          <w:b/>
          <w:kern w:val="0"/>
          <w:sz w:val="28"/>
          <w:szCs w:val="28"/>
          <w:lang w:eastAsia="pl-PL" w:bidi="ar-SA"/>
        </w:rPr>
        <w:t>jednorazowego i drobnego sprzętu medycznego do endoskopii</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C443B4">
        <w:rPr>
          <w:rFonts w:ascii="Arial" w:eastAsia="Arial" w:hAnsi="Arial"/>
          <w:kern w:val="0"/>
          <w:sz w:val="28"/>
          <w:szCs w:val="20"/>
          <w:u w:val="single"/>
          <w:lang w:eastAsia="pl-PL" w:bidi="ar-SA"/>
        </w:rPr>
        <w:t>TP/13/2022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80EAF">
        <w:rPr>
          <w:rFonts w:ascii="Arial" w:eastAsia="Arial" w:hAnsi="Arial"/>
          <w:kern w:val="0"/>
          <w:szCs w:val="20"/>
          <w:lang w:eastAsia="pl-PL" w:bidi="ar-SA"/>
        </w:rPr>
        <w:t>21.04.</w:t>
      </w:r>
      <w:r w:rsidR="00C443B4">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Default="007A4C18" w:rsidP="007A4C18">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6E6207">
        <w:rPr>
          <w:rFonts w:ascii="Arial" w:eastAsiaTheme="minorEastAsia" w:hAnsi="Arial" w:cs="Arial"/>
          <w:sz w:val="22"/>
          <w:szCs w:val="22"/>
          <w:lang w:eastAsia="pl-PL"/>
        </w:rPr>
        <w:t>jednorazowego i drobnego sprzętu do endoskopii</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31023" w:rsidRDefault="00631023" w:rsidP="00631023">
      <w:pPr>
        <w:pStyle w:val="Akapitzlist"/>
        <w:widowControl w:val="0"/>
        <w:autoSpaceDN/>
        <w:spacing w:line="276" w:lineRule="auto"/>
        <w:ind w:left="426"/>
        <w:contextualSpacing/>
        <w:jc w:val="both"/>
        <w:textAlignment w:val="auto"/>
        <w:rPr>
          <w:rFonts w:ascii="Arial" w:hAnsi="Arial" w:cs="Arial"/>
          <w:sz w:val="22"/>
          <w:szCs w:val="22"/>
        </w:rPr>
      </w:pPr>
      <w:r w:rsidRPr="00631023">
        <w:rPr>
          <w:rFonts w:ascii="Arial" w:hAnsi="Arial" w:cs="Arial"/>
          <w:sz w:val="22"/>
          <w:szCs w:val="22"/>
        </w:rPr>
        <w:t>Pakiet nr 1 – Ssak</w:t>
      </w:r>
    </w:p>
    <w:p w:rsidR="00631023" w:rsidRDefault="00631023" w:rsidP="00631023">
      <w:pPr>
        <w:pStyle w:val="Akapitzlist"/>
        <w:widowControl w:val="0"/>
        <w:autoSpaceDN/>
        <w:spacing w:line="276" w:lineRule="auto"/>
        <w:ind w:left="426"/>
        <w:contextualSpacing/>
        <w:jc w:val="both"/>
        <w:textAlignment w:val="auto"/>
        <w:rPr>
          <w:rFonts w:ascii="Arial" w:hAnsi="Arial" w:cs="Arial"/>
          <w:sz w:val="22"/>
          <w:szCs w:val="22"/>
        </w:rPr>
      </w:pPr>
      <w:r w:rsidRPr="00631023">
        <w:rPr>
          <w:rFonts w:ascii="Arial" w:hAnsi="Arial" w:cs="Arial"/>
          <w:sz w:val="22"/>
          <w:szCs w:val="22"/>
        </w:rPr>
        <w:t>Pakiet nr 2 – Osprzęt do endoskopii</w:t>
      </w:r>
    </w:p>
    <w:p w:rsidR="00631023" w:rsidRDefault="00631023" w:rsidP="00631023">
      <w:pPr>
        <w:pStyle w:val="Akapitzlist"/>
        <w:widowControl w:val="0"/>
        <w:autoSpaceDN/>
        <w:spacing w:line="276" w:lineRule="auto"/>
        <w:ind w:left="426"/>
        <w:contextualSpacing/>
        <w:jc w:val="both"/>
        <w:textAlignment w:val="auto"/>
        <w:rPr>
          <w:rFonts w:ascii="Arial" w:hAnsi="Arial" w:cs="Arial"/>
          <w:sz w:val="22"/>
          <w:szCs w:val="22"/>
        </w:rPr>
      </w:pPr>
      <w:r w:rsidRPr="00631023">
        <w:rPr>
          <w:rFonts w:ascii="Arial" w:hAnsi="Arial" w:cs="Arial"/>
          <w:sz w:val="22"/>
          <w:szCs w:val="22"/>
        </w:rPr>
        <w:t>Pakiet nr 3 – Sondy, elektrody</w:t>
      </w:r>
    </w:p>
    <w:p w:rsidR="00631023" w:rsidRPr="00A10099" w:rsidRDefault="00631023" w:rsidP="00631023">
      <w:pPr>
        <w:pStyle w:val="Akapitzlist"/>
        <w:widowControl w:val="0"/>
        <w:autoSpaceDN/>
        <w:spacing w:line="276" w:lineRule="auto"/>
        <w:ind w:left="426"/>
        <w:contextualSpacing/>
        <w:jc w:val="both"/>
        <w:textAlignment w:val="auto"/>
        <w:rPr>
          <w:rFonts w:ascii="Arial" w:hAnsi="Arial" w:cs="Arial"/>
          <w:sz w:val="22"/>
          <w:szCs w:val="22"/>
        </w:rPr>
      </w:pPr>
      <w:r w:rsidRPr="00631023">
        <w:rPr>
          <w:rFonts w:ascii="Arial" w:hAnsi="Arial" w:cs="Arial"/>
          <w:sz w:val="22"/>
          <w:szCs w:val="22"/>
        </w:rPr>
        <w:t>Pakiet nr 4 – ERCP 2</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7A4C18" w:rsidRPr="00E200BD" w:rsidRDefault="00E04FB4" w:rsidP="007A4C18">
      <w:pPr>
        <w:pStyle w:val="Akapitzlist"/>
        <w:widowControl w:val="0"/>
        <w:spacing w:line="276" w:lineRule="auto"/>
        <w:ind w:left="426"/>
        <w:jc w:val="both"/>
        <w:rPr>
          <w:rFonts w:ascii="Arial" w:hAnsi="Arial" w:cs="Arial"/>
          <w:bCs/>
          <w:iCs/>
          <w:color w:val="000000"/>
          <w:sz w:val="22"/>
          <w:szCs w:val="22"/>
        </w:rPr>
      </w:pPr>
      <w:r w:rsidRPr="00E200BD">
        <w:rPr>
          <w:rFonts w:ascii="Arial" w:hAnsi="Arial" w:cs="Arial"/>
          <w:sz w:val="22"/>
          <w:szCs w:val="22"/>
        </w:rPr>
        <w:t>33140000-3 Materiały medyczne</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 xml:space="preserve">i dopuszczenia do stosowania. W takiej sytuacji Wykonawca ma obowiązek dołączyć do oferty niezbędne certyfikaty, aprobaty techniczne, karty techniczne itp. dotyczące oferowanego przedmiotu </w:t>
      </w:r>
      <w:r w:rsidRPr="00200146">
        <w:rPr>
          <w:rFonts w:ascii="Arial" w:hAnsi="Arial" w:cs="Arial"/>
        </w:rPr>
        <w:lastRenderedPageBreak/>
        <w:t>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E26026">
        <w:rPr>
          <w:rFonts w:ascii="Arial" w:eastAsia="Arial" w:hAnsi="Arial"/>
          <w:kern w:val="0"/>
          <w:sz w:val="22"/>
          <w:szCs w:val="22"/>
          <w:lang w:eastAsia="pl-PL"/>
        </w:rPr>
        <w:t xml:space="preserve">w okresie 12 miesięcy </w:t>
      </w:r>
      <w:r w:rsidR="00E26026">
        <w:rPr>
          <w:rFonts w:ascii="Arial" w:eastAsia="Arial" w:hAnsi="Arial" w:cs="Arial"/>
          <w:sz w:val="22"/>
          <w:szCs w:val="22"/>
          <w:lang w:eastAsia="pl-PL"/>
        </w:rPr>
        <w:t>od daty zawarcia umowy.</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C443B4" w:rsidRDefault="00C00558" w:rsidP="00C443B4">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w:t>
      </w:r>
      <w:r w:rsidR="00C443B4">
        <w:rPr>
          <w:rFonts w:ascii="Arial" w:eastAsia="Arial" w:hAnsi="Arial"/>
          <w:kern w:val="0"/>
          <w:sz w:val="22"/>
          <w:szCs w:val="22"/>
          <w:lang w:eastAsia="pl-PL" w:bidi="ar-SA"/>
        </w:rPr>
        <w:t xml:space="preserve">nie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sidR="00E26026">
        <w:rPr>
          <w:rFonts w:ascii="Arial" w:eastAsia="Arial" w:hAnsi="Arial"/>
          <w:b/>
          <w:kern w:val="0"/>
          <w:sz w:val="22"/>
          <w:szCs w:val="22"/>
          <w:lang w:eastAsia="pl-PL" w:bidi="ar-SA"/>
        </w:rPr>
        <w:t>ów</w:t>
      </w:r>
      <w:r w:rsidRPr="00A059A8">
        <w:rPr>
          <w:rFonts w:ascii="Arial" w:eastAsia="Arial" w:hAnsi="Arial"/>
          <w:b/>
          <w:kern w:val="0"/>
          <w:sz w:val="22"/>
          <w:szCs w:val="22"/>
          <w:lang w:eastAsia="pl-PL" w:bidi="ar-SA"/>
        </w:rPr>
        <w:t xml:space="preserve"> udziału w postępowaniu</w:t>
      </w:r>
      <w:r w:rsidR="00E26026">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6E6207" w:rsidRPr="006E6207" w:rsidRDefault="00143632" w:rsidP="006E6207">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I </w:t>
            </w:r>
            <w:r w:rsidR="00BB61A1">
              <w:rPr>
                <w:rFonts w:ascii="Arial" w:hAnsi="Arial"/>
                <w:b/>
                <w:sz w:val="22"/>
                <w:szCs w:val="22"/>
              </w:rPr>
              <w:lastRenderedPageBreak/>
              <w:t>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E26026" w:rsidP="00A830A8">
      <w:pPr>
        <w:pStyle w:val="Standard"/>
        <w:spacing w:after="0"/>
        <w:ind w:left="426"/>
        <w:jc w:val="both"/>
        <w:rPr>
          <w:rFonts w:ascii="Arial" w:hAnsi="Arial" w:cs="Arial"/>
        </w:rPr>
      </w:pPr>
      <w:r>
        <w:rPr>
          <w:rFonts w:ascii="Arial" w:hAnsi="Arial"/>
          <w:color w:val="000000"/>
          <w:kern w:val="0"/>
          <w:lang w:eastAsia="pl-PL"/>
        </w:rPr>
        <w:t>Joanna Urbańczyk</w:t>
      </w:r>
      <w:r w:rsidR="00A830A8">
        <w:rPr>
          <w:rFonts w:ascii="Arial" w:hAnsi="Arial"/>
          <w:color w:val="000000"/>
          <w:kern w:val="0"/>
          <w:lang w:eastAsia="pl-PL"/>
        </w:rPr>
        <w:t xml:space="preserve">, </w:t>
      </w:r>
      <w:r w:rsidR="00A830A8" w:rsidRPr="00802560">
        <w:rPr>
          <w:rFonts w:ascii="Arial" w:hAnsi="Arial" w:cs="Arial"/>
        </w:rPr>
        <w:t>tel. 32 67 </w:t>
      </w:r>
      <w:r>
        <w:rPr>
          <w:rFonts w:ascii="Arial" w:hAnsi="Arial" w:cs="Arial"/>
        </w:rPr>
        <w:t>40361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w:t>
      </w:r>
      <w:r w:rsidR="00E80EAF">
        <w:rPr>
          <w:rFonts w:ascii="Arial" w:eastAsia="CIDFont+F6" w:hAnsi="Arial"/>
          <w:kern w:val="0"/>
          <w:sz w:val="22"/>
          <w:szCs w:val="22"/>
          <w:lang w:eastAsia="pl-PL"/>
        </w:rPr>
        <w:t>terminu składania ofert do dnia 27.05.</w:t>
      </w:r>
      <w:r w:rsidR="00E04FB4" w:rsidRPr="00E04FB4">
        <w:rPr>
          <w:rFonts w:ascii="Arial" w:eastAsia="CIDFont+F6" w:hAnsi="Arial"/>
          <w:kern w:val="0"/>
          <w:sz w:val="22"/>
          <w:szCs w:val="22"/>
          <w:lang w:eastAsia="pl-PL"/>
        </w:rPr>
        <w:t>2022</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lastRenderedPageBreak/>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w:t>
      </w:r>
      <w:r w:rsidRPr="00E44E73">
        <w:rPr>
          <w:rFonts w:ascii="Arial" w:eastAsia="CIDFont+F6" w:hAnsi="Arial"/>
          <w:color w:val="000000"/>
          <w:kern w:val="0"/>
          <w:sz w:val="22"/>
          <w:szCs w:val="22"/>
          <w:lang w:eastAsia="pl-PL" w:bidi="ar-SA"/>
        </w:rPr>
        <w:lastRenderedPageBreak/>
        <w:t xml:space="preserve">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E26026"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N</w:t>
      </w:r>
      <w:r w:rsidR="00FC70A2" w:rsidRPr="003D14BE">
        <w:rPr>
          <w:rFonts w:ascii="Arial" w:eastAsia="CIDFont+F6" w:hAnsi="Arial"/>
          <w:color w:val="000000"/>
          <w:kern w:val="0"/>
          <w:sz w:val="22"/>
          <w:szCs w:val="22"/>
          <w:lang w:eastAsia="pl-PL"/>
        </w:rPr>
        <w:t>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00FC70A2" w:rsidRPr="003D14BE">
        <w:rPr>
          <w:rFonts w:ascii="Arial" w:eastAsia="CIDFont+F6" w:hAnsi="Arial"/>
          <w:color w:val="000000"/>
          <w:kern w:val="0"/>
          <w:sz w:val="22"/>
          <w:szCs w:val="22"/>
          <w:lang w:eastAsia="pl-PL"/>
        </w:rPr>
        <w:t>:</w:t>
      </w:r>
    </w:p>
    <w:p w:rsidR="007813A0" w:rsidRPr="007813A0" w:rsidRDefault="007813A0" w:rsidP="007813A0">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sz w:val="22"/>
          <w:szCs w:val="22"/>
          <w:lang w:eastAsia="pl-PL"/>
        </w:rPr>
        <w:t>Formularz asortymentowo-cenowy – załącznik nr 2 do SWZ;</w:t>
      </w:r>
    </w:p>
    <w:p w:rsidR="007370BE" w:rsidRDefault="005C6769" w:rsidP="007370BE">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55115E">
        <w:rPr>
          <w:rFonts w:ascii="Arial" w:eastAsia="SimSun" w:hAnsi="Arial" w:cs="Arial"/>
          <w:sz w:val="22"/>
          <w:szCs w:val="22"/>
        </w:rPr>
        <w:t xml:space="preserve">Oświadczenie Wykonawcy, </w:t>
      </w:r>
      <w:r w:rsidRPr="0055115E">
        <w:rPr>
          <w:rFonts w:ascii="Arial" w:hAnsi="Arial" w:cs="Arial"/>
          <w:sz w:val="22"/>
          <w:szCs w:val="22"/>
          <w:lang w:eastAsia="pl-PL"/>
        </w:rPr>
        <w:t xml:space="preserve">że zaoferowane </w:t>
      </w:r>
      <w:r w:rsidR="007370BE" w:rsidRPr="00752283">
        <w:rPr>
          <w:rFonts w:ascii="Arial" w:eastAsia="SimSun" w:hAnsi="Arial" w:cs="Arial"/>
          <w:sz w:val="22"/>
          <w:szCs w:val="22"/>
        </w:rPr>
        <w:t>wyroby spełniaj</w:t>
      </w:r>
      <w:r w:rsidR="007370BE">
        <w:rPr>
          <w:rFonts w:ascii="Arial" w:eastAsia="SimSun" w:hAnsi="Arial" w:cs="Arial"/>
          <w:sz w:val="22"/>
          <w:szCs w:val="22"/>
        </w:rPr>
        <w:t xml:space="preserve">ą wymagania określone w ustawie </w:t>
      </w:r>
      <w:r w:rsidR="007370BE" w:rsidRPr="00752283">
        <w:rPr>
          <w:rFonts w:ascii="Arial" w:eastAsia="SimSun" w:hAnsi="Arial" w:cs="Arial"/>
          <w:sz w:val="22"/>
          <w:szCs w:val="22"/>
        </w:rPr>
        <w:t>z dnia 20 maja 2010 r. o wyrobach medycznych (tj. Dz. U. z 2019 r. poz. 175 ze zm.)</w:t>
      </w:r>
      <w:r w:rsidR="007370BE">
        <w:rPr>
          <w:rFonts w:ascii="Arial" w:eastAsia="SimSun" w:hAnsi="Arial" w:cs="Arial"/>
          <w:sz w:val="22"/>
          <w:szCs w:val="22"/>
        </w:rPr>
        <w:t xml:space="preserve">, </w:t>
      </w:r>
      <w:r w:rsidR="007370BE" w:rsidRPr="00FB49C7">
        <w:rPr>
          <w:rFonts w:ascii="Arial" w:eastAsia="SimSun" w:hAnsi="Arial" w:cs="Arial"/>
          <w:sz w:val="22"/>
          <w:szCs w:val="22"/>
        </w:rPr>
        <w:t>a ponadto, że Wykonawca jest gotowy w każdej chwili na żądanie Zamawiającego potwierdzić to poprzez przesłanie kopii odpowiedniej dokumentacji</w:t>
      </w:r>
      <w:r w:rsidR="007370BE">
        <w:rPr>
          <w:rFonts w:ascii="Arial" w:eastAsia="SimSun" w:hAnsi="Arial" w:cs="Arial"/>
          <w:sz w:val="22"/>
          <w:szCs w:val="22"/>
        </w:rPr>
        <w:t xml:space="preserve"> </w:t>
      </w:r>
      <w:r w:rsidR="007370BE" w:rsidRPr="00FB49C7">
        <w:rPr>
          <w:rFonts w:ascii="Arial" w:eastAsia="SimSun" w:hAnsi="Arial" w:cs="Arial"/>
          <w:sz w:val="22"/>
          <w:szCs w:val="22"/>
        </w:rPr>
        <w:t>(jeżeli dotyczy)</w:t>
      </w:r>
      <w:r w:rsidR="000D69B9">
        <w:rPr>
          <w:rFonts w:ascii="Arial" w:eastAsia="CIDFont+F6" w:hAnsi="Arial"/>
          <w:color w:val="000000"/>
          <w:kern w:val="0"/>
          <w:sz w:val="22"/>
          <w:szCs w:val="22"/>
          <w:lang w:eastAsia="pl-PL"/>
        </w:rPr>
        <w:t xml:space="preserve"> – pakiety 1-4.</w:t>
      </w:r>
    </w:p>
    <w:p w:rsidR="007370BE" w:rsidRPr="007370BE" w:rsidRDefault="007370BE" w:rsidP="007370BE">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7370BE">
        <w:rPr>
          <w:rFonts w:ascii="Arial" w:hAnsi="Arial" w:cs="Arial"/>
          <w:sz w:val="22"/>
          <w:szCs w:val="16"/>
        </w:rPr>
        <w:t xml:space="preserve">ulotki, karty katalogowe, karty techniczne wyrobów / sprzętu </w:t>
      </w:r>
      <w:r w:rsidRPr="007370BE">
        <w:rPr>
          <w:rFonts w:ascii="Arial" w:eastAsia="SimSun" w:hAnsi="Arial" w:cs="Arial"/>
          <w:sz w:val="22"/>
          <w:szCs w:val="16"/>
        </w:rPr>
        <w:t xml:space="preserve">potwierdzające wymogi określone przez Zamawiającego, z </w:t>
      </w:r>
      <w:r w:rsidR="000D69B9">
        <w:rPr>
          <w:rFonts w:ascii="Arial" w:eastAsia="SimSun" w:hAnsi="Arial" w:cs="Arial"/>
          <w:sz w:val="22"/>
          <w:szCs w:val="16"/>
        </w:rPr>
        <w:t>zaznaczeniem wskazanych wymogów – pakiety 1-4.</w:t>
      </w:r>
    </w:p>
    <w:p w:rsidR="00143632" w:rsidRPr="007370BE" w:rsidRDefault="007370BE" w:rsidP="007370BE">
      <w:pPr>
        <w:pStyle w:val="Akapitzlist"/>
        <w:numPr>
          <w:ilvl w:val="0"/>
          <w:numId w:val="46"/>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hAnsi="Arial"/>
          <w:color w:val="000000"/>
          <w:kern w:val="0"/>
          <w:sz w:val="22"/>
          <w:szCs w:val="22"/>
          <w:lang w:eastAsia="pl-PL"/>
        </w:rPr>
        <w:t>Zamawiający nie przewiduje wezwania do złożenia lub uzupełnienia przedmiotowych środków dowodowych w przypadku gdy Wykonawca ich nie złoży</w:t>
      </w:r>
      <w:r w:rsidR="00143632" w:rsidRPr="007370BE">
        <w:rPr>
          <w:rFonts w:ascii="Arial" w:hAnsi="Arial"/>
          <w:color w:val="000000"/>
          <w:kern w:val="0"/>
          <w:sz w:val="22"/>
          <w:szCs w:val="22"/>
          <w:lang w:eastAsia="pl-PL"/>
        </w:rPr>
        <w:t xml:space="preserve"> lub złożone przedmiotowe środki dowodowe będą niekompletne</w:t>
      </w:r>
      <w:r>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elektronicznych </w:t>
      </w:r>
      <w:r w:rsidRPr="00E06A5B">
        <w:rPr>
          <w:rFonts w:ascii="Arial" w:eastAsia="CIDFont+F6" w:hAnsi="Arial"/>
          <w:color w:val="000000"/>
          <w:kern w:val="0"/>
          <w:sz w:val="22"/>
          <w:szCs w:val="22"/>
          <w:lang w:eastAsia="pl-PL"/>
        </w:rPr>
        <w:lastRenderedPageBreak/>
        <w:t>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80EAF">
        <w:rPr>
          <w:rFonts w:ascii="Arial" w:eastAsia="Arial" w:hAnsi="Arial"/>
          <w:b/>
          <w:kern w:val="0"/>
          <w:sz w:val="22"/>
          <w:szCs w:val="20"/>
          <w:lang w:eastAsia="pl-PL" w:bidi="ar-SA"/>
        </w:rPr>
        <w:t>29.04.</w:t>
      </w:r>
      <w:r w:rsidR="00747363" w:rsidRPr="00E04FB4">
        <w:rPr>
          <w:rFonts w:ascii="Arial" w:eastAsia="Arial" w:hAnsi="Arial"/>
          <w:b/>
          <w:kern w:val="0"/>
          <w:sz w:val="22"/>
          <w:szCs w:val="20"/>
          <w:lang w:eastAsia="pl-PL" w:bidi="ar-SA"/>
        </w:rPr>
        <w:t>202</w:t>
      </w:r>
      <w:r w:rsidR="00E04FB4" w:rsidRPr="00E04FB4">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80EAF">
        <w:rPr>
          <w:rFonts w:ascii="Arial" w:eastAsia="Arial" w:hAnsi="Arial"/>
          <w:b/>
          <w:kern w:val="0"/>
          <w:sz w:val="22"/>
          <w:szCs w:val="20"/>
          <w:lang w:eastAsia="pl-PL"/>
        </w:rPr>
        <w:t>29.04.</w:t>
      </w:r>
      <w:bookmarkStart w:id="0" w:name="_GoBack"/>
      <w:bookmarkEnd w:id="0"/>
      <w:r w:rsidR="00A91D0C" w:rsidRPr="00E04FB4">
        <w:rPr>
          <w:rFonts w:ascii="Arial" w:eastAsia="Arial" w:hAnsi="Arial"/>
          <w:b/>
          <w:kern w:val="0"/>
          <w:sz w:val="22"/>
          <w:szCs w:val="20"/>
          <w:lang w:eastAsia="pl-PL"/>
        </w:rPr>
        <w:t>202</w:t>
      </w:r>
      <w:r w:rsidR="00E04FB4" w:rsidRPr="00E04FB4">
        <w:rPr>
          <w:rFonts w:ascii="Arial" w:eastAsia="Arial" w:hAnsi="Arial"/>
          <w:b/>
          <w:kern w:val="0"/>
          <w:sz w:val="22"/>
          <w:szCs w:val="20"/>
          <w:lang w:eastAsia="pl-PL"/>
        </w:rPr>
        <w:t>2</w:t>
      </w:r>
      <w:r w:rsidR="00AD2DB2" w:rsidRPr="00E04FB4">
        <w:rPr>
          <w:rFonts w:ascii="Arial" w:eastAsia="Arial" w:hAnsi="Arial"/>
          <w:b/>
          <w:kern w:val="0"/>
          <w:sz w:val="22"/>
          <w:szCs w:val="20"/>
          <w:lang w:eastAsia="pl-PL"/>
        </w:rPr>
        <w:t xml:space="preserve"> </w:t>
      </w:r>
      <w:r w:rsidR="00A91D0C" w:rsidRPr="00E04FB4">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lastRenderedPageBreak/>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E04FB4"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sidR="00390752">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651407" w:rsidRPr="0055115E" w:rsidRDefault="00651407" w:rsidP="00A5469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651407" w:rsidRPr="00651407" w:rsidRDefault="00651407" w:rsidP="00651407">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651407" w:rsidRPr="00651407" w:rsidRDefault="00651407" w:rsidP="00651407">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651407" w:rsidRDefault="00651407" w:rsidP="00651407">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651407" w:rsidRPr="00651407" w:rsidRDefault="00651407" w:rsidP="00A54694">
      <w:pPr>
        <w:pStyle w:val="Akapitzlist"/>
        <w:numPr>
          <w:ilvl w:val="0"/>
          <w:numId w:val="52"/>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liczbę punktów za to kryterium (10 pkt) otrzyma oferta o najkrótszym terminie wymiany (wykazanym w Formularzu ofertowym). Pozostali Wykonawcy odpowiednio mniej:</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651407" w:rsidRPr="0055115E" w:rsidRDefault="00390752" w:rsidP="00651407">
      <w:pPr>
        <w:pStyle w:val="Akapitzlist"/>
        <w:tabs>
          <w:tab w:val="left" w:pos="2410"/>
        </w:tabs>
        <w:ind w:left="644"/>
        <w:rPr>
          <w:rFonts w:ascii="Arial" w:eastAsia="Calibri" w:hAnsi="Arial"/>
          <w:sz w:val="22"/>
          <w:szCs w:val="22"/>
          <w:lang w:eastAsia="en-US"/>
        </w:rPr>
      </w:pPr>
      <w:r>
        <w:rPr>
          <w:rFonts w:ascii="Arial" w:eastAsia="Calibri" w:hAnsi="Arial"/>
          <w:sz w:val="22"/>
          <w:szCs w:val="22"/>
          <w:lang w:eastAsia="en-US"/>
        </w:rPr>
        <w:t>2 dni robocze - 10</w:t>
      </w:r>
      <w:r w:rsidR="00651407" w:rsidRPr="0055115E">
        <w:rPr>
          <w:rFonts w:ascii="Arial" w:eastAsia="Calibri" w:hAnsi="Arial"/>
          <w:sz w:val="22"/>
          <w:szCs w:val="22"/>
          <w:lang w:eastAsia="en-US"/>
        </w:rPr>
        <w:t xml:space="preserve"> pkt</w:t>
      </w:r>
    </w:p>
    <w:p w:rsidR="00651407" w:rsidRPr="0055115E" w:rsidRDefault="00651407" w:rsidP="00651407">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1 d</w:t>
      </w:r>
      <w:r w:rsidR="00390752">
        <w:rPr>
          <w:rFonts w:ascii="Arial" w:eastAsia="Calibri" w:hAnsi="Arial"/>
          <w:sz w:val="22"/>
          <w:szCs w:val="22"/>
          <w:lang w:eastAsia="en-US"/>
        </w:rPr>
        <w:t>zień roboczy – 2</w:t>
      </w:r>
      <w:r w:rsidRPr="0055115E">
        <w:rPr>
          <w:rFonts w:ascii="Arial" w:eastAsia="Calibri" w:hAnsi="Arial"/>
          <w:sz w:val="22"/>
          <w:szCs w:val="22"/>
          <w:lang w:eastAsia="en-US"/>
        </w:rPr>
        <w:t>0 pkt</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651407" w:rsidP="00651407">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651407" w:rsidRPr="00651407" w:rsidRDefault="00651407" w:rsidP="00A54694">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Pr="00651407">
        <w:rPr>
          <w:rFonts w:ascii="Arial" w:hAnsi="Arial"/>
          <w:iCs/>
          <w:sz w:val="22"/>
          <w:szCs w:val="22"/>
          <w:lang w:eastAsia="x-none"/>
        </w:rPr>
        <w:br/>
      </w:r>
      <w:r w:rsidRPr="00651407">
        <w:rPr>
          <w:rFonts w:ascii="Arial" w:hAnsi="Arial"/>
          <w:iCs/>
          <w:sz w:val="22"/>
          <w:szCs w:val="22"/>
          <w:lang w:val="x-none" w:eastAsia="x-none"/>
        </w:rPr>
        <w:t>w niniejszej SIWZ, spośród ofert nie podlegających odrzuceniu, tj. tę ofertę, która w wyniku przeprowadzonej oceny uzyska najwyższą liczbę punktów, wyliczoną jako suma punktó</w:t>
      </w:r>
      <w:r w:rsidRPr="00651407">
        <w:rPr>
          <w:rFonts w:ascii="Arial" w:hAnsi="Arial"/>
          <w:iCs/>
          <w:sz w:val="22"/>
          <w:szCs w:val="22"/>
          <w:lang w:eastAsia="x-none"/>
        </w:rPr>
        <w:t xml:space="preserve">w uzyskanych za kryterium: </w:t>
      </w:r>
      <w:r w:rsidRPr="00651407">
        <w:rPr>
          <w:rFonts w:ascii="Arial" w:hAnsi="Arial"/>
          <w:sz w:val="22"/>
          <w:szCs w:val="22"/>
          <w:lang w:eastAsia="x-none"/>
        </w:rPr>
        <w:t xml:space="preserve">Cena, Termin dostawy, Termin dostawy „na cito”, </w:t>
      </w:r>
      <w:r w:rsidRPr="00651407">
        <w:rPr>
          <w:rFonts w:ascii="Arial" w:eastAsia="Calibri" w:hAnsi="Arial"/>
          <w:sz w:val="22"/>
          <w:szCs w:val="22"/>
        </w:rPr>
        <w:t>Termin wymiany w przypadku reklamacji</w:t>
      </w:r>
      <w:r w:rsidRPr="00651407">
        <w:rPr>
          <w:rFonts w:ascii="Arial" w:hAnsi="Arial"/>
          <w:sz w:val="22"/>
          <w:szCs w:val="22"/>
          <w:lang w:eastAsia="x-none"/>
        </w:rPr>
        <w:t xml:space="preserve">, tj. </w:t>
      </w:r>
      <w:r w:rsidRPr="00651407">
        <w:rPr>
          <w:rFonts w:ascii="Arial" w:hAnsi="Arial"/>
          <w:iCs/>
          <w:sz w:val="22"/>
          <w:szCs w:val="22"/>
          <w:lang w:eastAsia="x-none"/>
        </w:rPr>
        <w:t>A+B+C</w:t>
      </w:r>
      <w:r w:rsidR="00E04FB4">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E04FB4" w:rsidRDefault="002E0492" w:rsidP="00E04FB4">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Pr="00E04FB4" w:rsidRDefault="008A4602" w:rsidP="00E04FB4">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E04FB4">
        <w:rPr>
          <w:rFonts w:ascii="Arial" w:eastAsia="ArialMT-Identity-H" w:hAnsi="Arial"/>
          <w:kern w:val="0"/>
          <w:sz w:val="22"/>
          <w:szCs w:val="22"/>
          <w:lang w:eastAsia="pl-PL"/>
        </w:rPr>
        <w:t>Jeżeli nie można wybrać najkorzystniejszej oferty z uwagi na to, że dwie lub więcej ofert przedstawia</w:t>
      </w:r>
      <w:r w:rsidR="002E0492" w:rsidRPr="00E04FB4">
        <w:rPr>
          <w:rFonts w:ascii="Arial" w:eastAsia="ArialMT-Identity-H" w:hAnsi="Arial"/>
          <w:kern w:val="0"/>
          <w:sz w:val="22"/>
          <w:szCs w:val="22"/>
          <w:lang w:eastAsia="pl-PL"/>
        </w:rPr>
        <w:t xml:space="preserve"> </w:t>
      </w:r>
      <w:r w:rsidRPr="00E04FB4">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E04FB4">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631023">
        <w:rPr>
          <w:rFonts w:ascii="Arial" w:hAnsi="Arial"/>
          <w:sz w:val="22"/>
          <w:szCs w:val="22"/>
        </w:rPr>
        <w:t>Powiatowym w Zawierciu jest 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631023">
        <w:rPr>
          <w:rFonts w:ascii="Arial" w:hAnsi="Arial"/>
          <w:sz w:val="22"/>
          <w:szCs w:val="22"/>
        </w:rPr>
        <w:t>art. 18 oraz art. 74 ust. 4 ustawy z dnia 11 września 2019 r. – Prawo zamówień publicznych (</w:t>
      </w:r>
      <w:r w:rsidR="00631023">
        <w:rPr>
          <w:rFonts w:ascii="Arial" w:hAnsi="Arial"/>
          <w:color w:val="000000"/>
          <w:sz w:val="22"/>
          <w:szCs w:val="22"/>
          <w:lang w:eastAsia="pl-PL"/>
        </w:rPr>
        <w:t>tj. Dz. U. 2019 r. poz. 2019</w:t>
      </w:r>
      <w:r w:rsidR="00631023">
        <w:rPr>
          <w:rFonts w:ascii="Arial" w:hAnsi="Arial"/>
          <w:sz w:val="22"/>
          <w:szCs w:val="22"/>
        </w:rPr>
        <w:t xml:space="preserve">), dalej „ustawa </w:t>
      </w:r>
      <w:proofErr w:type="spellStart"/>
      <w:r w:rsidR="00631023">
        <w:rPr>
          <w:rFonts w:ascii="Arial" w:hAnsi="Arial"/>
          <w:sz w:val="22"/>
          <w:szCs w:val="22"/>
        </w:rPr>
        <w:t>Pzp</w:t>
      </w:r>
      <w:proofErr w:type="spellEnd"/>
      <w:r w:rsidR="00631023">
        <w:rPr>
          <w:rFonts w:ascii="Arial" w:hAnsi="Arial"/>
          <w:sz w:val="22"/>
          <w:szCs w:val="22"/>
        </w:rPr>
        <w:t>”;</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POU</w:t>
            </w:r>
            <w:r w:rsidR="00FE3A26" w:rsidRPr="00E04FB4">
              <w:rPr>
                <w:rFonts w:ascii="Arial" w:eastAsia="Times New Roman" w:hAnsi="Arial"/>
                <w:b/>
                <w:sz w:val="22"/>
                <w:szCs w:val="22"/>
              </w:rPr>
              <w:t>CZ</w:t>
            </w:r>
            <w:r w:rsidR="00E04FB4">
              <w:rPr>
                <w:rFonts w:ascii="Arial" w:eastAsia="Times New Roman" w:hAnsi="Arial"/>
                <w:b/>
                <w:sz w:val="22"/>
                <w:szCs w:val="22"/>
              </w:rPr>
              <w:t>E</w:t>
            </w:r>
            <w:r w:rsidR="00FE3A26" w:rsidRPr="00E04FB4">
              <w:rPr>
                <w:rFonts w:ascii="Arial" w:eastAsia="Times New Roman" w:hAnsi="Arial"/>
                <w:b/>
                <w:sz w:val="22"/>
                <w:szCs w:val="22"/>
              </w:rPr>
              <w:t>NIE</w:t>
            </w:r>
            <w:r w:rsidR="00FE3A26">
              <w:rPr>
                <w:rFonts w:ascii="Arial" w:eastAsia="Times New Roman" w:hAnsi="Arial"/>
                <w:b/>
                <w:sz w:val="22"/>
                <w:szCs w:val="22"/>
              </w:rPr>
              <w:t xml:space="preserv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lastRenderedPageBreak/>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E3" w:rsidRDefault="00D05FE3">
      <w:r>
        <w:separator/>
      </w:r>
    </w:p>
  </w:endnote>
  <w:endnote w:type="continuationSeparator" w:id="0">
    <w:p w:rsidR="00D05FE3" w:rsidRDefault="00D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80EAF">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80EA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E3" w:rsidRDefault="00D05FE3">
      <w:r>
        <w:rPr>
          <w:color w:val="000000"/>
        </w:rPr>
        <w:separator/>
      </w:r>
    </w:p>
  </w:footnote>
  <w:footnote w:type="continuationSeparator" w:id="0">
    <w:p w:rsidR="00D05FE3" w:rsidRDefault="00D05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3"/>
  </w:num>
  <w:num w:numId="4">
    <w:abstractNumId w:val="20"/>
  </w:num>
  <w:num w:numId="5">
    <w:abstractNumId w:val="23"/>
  </w:num>
  <w:num w:numId="6">
    <w:abstractNumId w:val="46"/>
  </w:num>
  <w:num w:numId="7">
    <w:abstractNumId w:val="58"/>
  </w:num>
  <w:num w:numId="8">
    <w:abstractNumId w:val="57"/>
  </w:num>
  <w:num w:numId="9">
    <w:abstractNumId w:val="72"/>
  </w:num>
  <w:num w:numId="10">
    <w:abstractNumId w:val="64"/>
  </w:num>
  <w:num w:numId="11">
    <w:abstractNumId w:val="28"/>
  </w:num>
  <w:num w:numId="12">
    <w:abstractNumId w:val="25"/>
  </w:num>
  <w:num w:numId="13">
    <w:abstractNumId w:val="10"/>
  </w:num>
  <w:num w:numId="14">
    <w:abstractNumId w:val="35"/>
  </w:num>
  <w:num w:numId="15">
    <w:abstractNumId w:val="6"/>
  </w:num>
  <w:num w:numId="16">
    <w:abstractNumId w:val="61"/>
  </w:num>
  <w:num w:numId="17">
    <w:abstractNumId w:val="5"/>
  </w:num>
  <w:num w:numId="18">
    <w:abstractNumId w:val="50"/>
  </w:num>
  <w:num w:numId="19">
    <w:abstractNumId w:val="73"/>
  </w:num>
  <w:num w:numId="20">
    <w:abstractNumId w:val="60"/>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9"/>
  </w:num>
  <w:num w:numId="34">
    <w:abstractNumId w:val="8"/>
  </w:num>
  <w:num w:numId="35">
    <w:abstractNumId w:val="38"/>
  </w:num>
  <w:num w:numId="36">
    <w:abstractNumId w:val="70"/>
  </w:num>
  <w:num w:numId="37">
    <w:abstractNumId w:val="29"/>
  </w:num>
  <w:num w:numId="38">
    <w:abstractNumId w:val="31"/>
  </w:num>
  <w:num w:numId="39">
    <w:abstractNumId w:val="69"/>
  </w:num>
  <w:num w:numId="40">
    <w:abstractNumId w:val="62"/>
  </w:num>
  <w:num w:numId="41">
    <w:abstractNumId w:val="40"/>
  </w:num>
  <w:num w:numId="42">
    <w:abstractNumId w:val="44"/>
  </w:num>
  <w:num w:numId="43">
    <w:abstractNumId w:val="42"/>
  </w:num>
  <w:num w:numId="44">
    <w:abstractNumId w:val="59"/>
  </w:num>
  <w:num w:numId="45">
    <w:abstractNumId w:val="48"/>
  </w:num>
  <w:num w:numId="46">
    <w:abstractNumId w:val="47"/>
  </w:num>
  <w:num w:numId="47">
    <w:abstractNumId w:val="7"/>
  </w:num>
  <w:num w:numId="48">
    <w:abstractNumId w:val="51"/>
  </w:num>
  <w:num w:numId="49">
    <w:abstractNumId w:val="34"/>
  </w:num>
  <w:num w:numId="50">
    <w:abstractNumId w:val="52"/>
  </w:num>
  <w:num w:numId="51">
    <w:abstractNumId w:val="22"/>
  </w:num>
  <w:num w:numId="52">
    <w:abstractNumId w:val="24"/>
  </w:num>
  <w:num w:numId="53">
    <w:abstractNumId w:val="66"/>
  </w:num>
  <w:num w:numId="54">
    <w:abstractNumId w:val="33"/>
  </w:num>
  <w:num w:numId="55">
    <w:abstractNumId w:val="37"/>
  </w:num>
  <w:num w:numId="5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30"/>
  </w:num>
  <w:num w:numId="59">
    <w:abstractNumId w:val="17"/>
  </w:num>
  <w:num w:numId="60">
    <w:abstractNumId w:val="36"/>
  </w:num>
  <w:num w:numId="61">
    <w:abstractNumId w:val="67"/>
  </w:num>
  <w:num w:numId="62">
    <w:abstractNumId w:val="12"/>
  </w:num>
  <w:num w:numId="63">
    <w:abstractNumId w:val="45"/>
  </w:num>
  <w:num w:numId="64">
    <w:abstractNumId w:val="21"/>
  </w:num>
  <w:num w:numId="65">
    <w:abstractNumId w:val="39"/>
  </w:num>
  <w:num w:numId="66">
    <w:abstractNumId w:val="65"/>
  </w:num>
  <w:num w:numId="67">
    <w:abstractNumId w:val="54"/>
  </w:num>
  <w:num w:numId="68">
    <w:abstractNumId w:val="53"/>
  </w:num>
  <w:num w:numId="69">
    <w:abstractNumId w:val="55"/>
  </w:num>
  <w:num w:numId="70">
    <w:abstractNumId w:val="43"/>
  </w:num>
  <w:num w:numId="71">
    <w:abstractNumId w:val="32"/>
  </w:num>
  <w:num w:numId="72">
    <w:abstractNumId w:val="15"/>
  </w:num>
  <w:num w:numId="73">
    <w:abstractNumId w:val="71"/>
  </w:num>
  <w:num w:numId="74">
    <w:abstractNumId w:val="9"/>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A6DE6"/>
    <w:rsid w:val="000B1906"/>
    <w:rsid w:val="000B4A2D"/>
    <w:rsid w:val="000C165D"/>
    <w:rsid w:val="000C230F"/>
    <w:rsid w:val="000C4C1A"/>
    <w:rsid w:val="000C792A"/>
    <w:rsid w:val="000C7AD1"/>
    <w:rsid w:val="000D3C2E"/>
    <w:rsid w:val="000D5A02"/>
    <w:rsid w:val="000D69B9"/>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4A87"/>
    <w:rsid w:val="00297C64"/>
    <w:rsid w:val="00297DFB"/>
    <w:rsid w:val="002A0352"/>
    <w:rsid w:val="002A6DE5"/>
    <w:rsid w:val="002A77EA"/>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0752"/>
    <w:rsid w:val="00391C31"/>
    <w:rsid w:val="00395437"/>
    <w:rsid w:val="003961EA"/>
    <w:rsid w:val="003A246F"/>
    <w:rsid w:val="003A4CDA"/>
    <w:rsid w:val="003A58F2"/>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6BE5"/>
    <w:rsid w:val="0047770E"/>
    <w:rsid w:val="0048053D"/>
    <w:rsid w:val="00487181"/>
    <w:rsid w:val="00490CAC"/>
    <w:rsid w:val="004A4D67"/>
    <w:rsid w:val="004B23FD"/>
    <w:rsid w:val="004B2F1C"/>
    <w:rsid w:val="004B5E44"/>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57142"/>
    <w:rsid w:val="00562B23"/>
    <w:rsid w:val="005809C4"/>
    <w:rsid w:val="00580ACF"/>
    <w:rsid w:val="00582DB8"/>
    <w:rsid w:val="00586C0F"/>
    <w:rsid w:val="005878FC"/>
    <w:rsid w:val="00593391"/>
    <w:rsid w:val="005A2C64"/>
    <w:rsid w:val="005B3B9E"/>
    <w:rsid w:val="005B4A85"/>
    <w:rsid w:val="005B5E37"/>
    <w:rsid w:val="005B6491"/>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1023"/>
    <w:rsid w:val="00640CB1"/>
    <w:rsid w:val="00641046"/>
    <w:rsid w:val="00647DD1"/>
    <w:rsid w:val="006503DE"/>
    <w:rsid w:val="00651407"/>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E6207"/>
    <w:rsid w:val="006F011E"/>
    <w:rsid w:val="006F5064"/>
    <w:rsid w:val="00702702"/>
    <w:rsid w:val="00704B93"/>
    <w:rsid w:val="007121C5"/>
    <w:rsid w:val="00720BFC"/>
    <w:rsid w:val="007273E1"/>
    <w:rsid w:val="00734874"/>
    <w:rsid w:val="007363C1"/>
    <w:rsid w:val="007370BE"/>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8F5389"/>
    <w:rsid w:val="00900BF6"/>
    <w:rsid w:val="0091635A"/>
    <w:rsid w:val="00917BC9"/>
    <w:rsid w:val="00927462"/>
    <w:rsid w:val="009354CF"/>
    <w:rsid w:val="009358D0"/>
    <w:rsid w:val="00946DEF"/>
    <w:rsid w:val="009513D6"/>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538B6"/>
    <w:rsid w:val="00B71056"/>
    <w:rsid w:val="00B725B8"/>
    <w:rsid w:val="00B836F6"/>
    <w:rsid w:val="00B95585"/>
    <w:rsid w:val="00B96FDC"/>
    <w:rsid w:val="00BA174B"/>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443B4"/>
    <w:rsid w:val="00C538C1"/>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05FE3"/>
    <w:rsid w:val="00D123E4"/>
    <w:rsid w:val="00D20572"/>
    <w:rsid w:val="00D33941"/>
    <w:rsid w:val="00D3584A"/>
    <w:rsid w:val="00D36C6D"/>
    <w:rsid w:val="00D43398"/>
    <w:rsid w:val="00D50833"/>
    <w:rsid w:val="00D55480"/>
    <w:rsid w:val="00D60BDD"/>
    <w:rsid w:val="00D65629"/>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4FB4"/>
    <w:rsid w:val="00E05D3A"/>
    <w:rsid w:val="00E06A5B"/>
    <w:rsid w:val="00E11D0E"/>
    <w:rsid w:val="00E200BD"/>
    <w:rsid w:val="00E22FE8"/>
    <w:rsid w:val="00E25550"/>
    <w:rsid w:val="00E26026"/>
    <w:rsid w:val="00E3091D"/>
    <w:rsid w:val="00E433BC"/>
    <w:rsid w:val="00E44E73"/>
    <w:rsid w:val="00E4540B"/>
    <w:rsid w:val="00E5739C"/>
    <w:rsid w:val="00E77764"/>
    <w:rsid w:val="00E80EAF"/>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086C-09B8-4879-9DC6-D442BCD0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5810</TotalTime>
  <Pages>15</Pages>
  <Words>7042</Words>
  <Characters>42253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Joanna Urbańczyk</cp:lastModifiedBy>
  <cp:revision>282</cp:revision>
  <cp:lastPrinted>2022-04-15T10:23:00Z</cp:lastPrinted>
  <dcterms:created xsi:type="dcterms:W3CDTF">2019-12-05T13:53:00Z</dcterms:created>
  <dcterms:modified xsi:type="dcterms:W3CDTF">2022-04-21T08:49:00Z</dcterms:modified>
</cp:coreProperties>
</file>