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2B" w:rsidRDefault="0087592B" w:rsidP="0087592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 w:rsidR="002B11BB">
        <w:t xml:space="preserve">                                              </w:t>
      </w:r>
      <w:r w:rsidR="00D5096B">
        <w:t xml:space="preserve">                               </w:t>
      </w:r>
      <w:r w:rsidR="004F5604">
        <w:rPr>
          <w:sz w:val="20"/>
          <w:szCs w:val="20"/>
        </w:rPr>
        <w:t xml:space="preserve">Załącznik nr </w:t>
      </w:r>
      <w:r w:rsidR="00270CCF">
        <w:rPr>
          <w:sz w:val="20"/>
          <w:szCs w:val="20"/>
        </w:rPr>
        <w:t xml:space="preserve"> 2 c</w:t>
      </w:r>
    </w:p>
    <w:p w:rsidR="0087592B" w:rsidRDefault="0087592B" w:rsidP="0087592B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Narzędzia chirurgiczne wielorazowe</w:t>
      </w:r>
    </w:p>
    <w:p w:rsidR="0087592B" w:rsidRDefault="0087592B" w:rsidP="0087592B">
      <w:pPr>
        <w:pStyle w:val="Standard"/>
        <w:jc w:val="center"/>
      </w:pPr>
    </w:p>
    <w:p w:rsidR="0087592B" w:rsidRDefault="0087592B" w:rsidP="0087592B">
      <w:pPr>
        <w:tabs>
          <w:tab w:val="left" w:pos="4678"/>
        </w:tabs>
        <w:jc w:val="center"/>
        <w:rPr>
          <w:b/>
          <w:szCs w:val="24"/>
        </w:rPr>
      </w:pPr>
      <w:r w:rsidRPr="00787BF5">
        <w:rPr>
          <w:b/>
          <w:szCs w:val="24"/>
        </w:rPr>
        <w:t>Zestawienie wymaganych warunków względem wykonaw</w:t>
      </w:r>
      <w:r w:rsidR="00A04295">
        <w:rPr>
          <w:b/>
          <w:szCs w:val="24"/>
        </w:rPr>
        <w:t>cy dotyczących udzielonej gwarancji</w:t>
      </w:r>
      <w:r w:rsidRPr="00787BF5">
        <w:rPr>
          <w:b/>
          <w:szCs w:val="24"/>
        </w:rPr>
        <w:t xml:space="preserve"> i znakowania narz</w:t>
      </w:r>
      <w:r>
        <w:rPr>
          <w:b/>
          <w:szCs w:val="24"/>
        </w:rPr>
        <w:t>ę</w:t>
      </w:r>
      <w:r w:rsidRPr="00787BF5">
        <w:rPr>
          <w:b/>
          <w:szCs w:val="24"/>
        </w:rPr>
        <w:t>dzi chirurgicznych</w:t>
      </w:r>
    </w:p>
    <w:p w:rsidR="0087592B" w:rsidRPr="00787BF5" w:rsidRDefault="0087592B" w:rsidP="0087592B">
      <w:pPr>
        <w:rPr>
          <w:sz w:val="20"/>
          <w:szCs w:val="20"/>
        </w:rPr>
      </w:pPr>
    </w:p>
    <w:tbl>
      <w:tblPr>
        <w:tblW w:w="1530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8291"/>
        <w:gridCol w:w="1705"/>
        <w:gridCol w:w="4819"/>
      </w:tblGrid>
      <w:tr w:rsidR="00D0463C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63C" w:rsidRPr="00355AAE" w:rsidRDefault="00D0463C" w:rsidP="005E30C9">
            <w:pPr>
              <w:pStyle w:val="TableContents"/>
              <w:rPr>
                <w:rFonts w:ascii="Arial" w:hAnsi="Arial"/>
                <w:b/>
              </w:rPr>
            </w:pPr>
            <w:r w:rsidRPr="00355AAE">
              <w:rPr>
                <w:rFonts w:ascii="Arial" w:hAnsi="Arial"/>
                <w:b/>
              </w:rPr>
              <w:t>Lp.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63C" w:rsidRPr="00355AAE" w:rsidRDefault="00C754E3" w:rsidP="005E30C9">
            <w:pPr>
              <w:pStyle w:val="TableContent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Wymagane parametry i warunki</w:t>
            </w:r>
          </w:p>
          <w:p w:rsidR="00D0463C" w:rsidRPr="00355AAE" w:rsidRDefault="00D0463C" w:rsidP="005E30C9">
            <w:pPr>
              <w:pStyle w:val="TableContents"/>
              <w:rPr>
                <w:rFonts w:ascii="Arial" w:hAnsi="Arial"/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Pr="00355AAE" w:rsidRDefault="00C754E3" w:rsidP="00C754E3">
            <w:pPr>
              <w:pStyle w:val="TableContents"/>
              <w:rPr>
                <w:rFonts w:ascii="Arial" w:hAnsi="Arial"/>
                <w:b/>
              </w:rPr>
            </w:pPr>
            <w:r w:rsidRPr="00355AAE">
              <w:rPr>
                <w:rFonts w:ascii="Arial" w:hAnsi="Arial"/>
                <w:b/>
              </w:rPr>
              <w:t>Parametr wymagany</w:t>
            </w:r>
          </w:p>
          <w:p w:rsidR="00D0463C" w:rsidRPr="00355AAE" w:rsidRDefault="00D0463C" w:rsidP="0087592B">
            <w:pPr>
              <w:pStyle w:val="TableContents"/>
              <w:ind w:right="-5299"/>
              <w:rPr>
                <w:rFonts w:ascii="Arial" w:hAnsi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63C" w:rsidRPr="00355AAE" w:rsidRDefault="00D0463C" w:rsidP="0087592B">
            <w:pPr>
              <w:pStyle w:val="TableContents"/>
              <w:ind w:right="-5299"/>
              <w:rPr>
                <w:rFonts w:ascii="Arial" w:hAnsi="Arial"/>
                <w:b/>
              </w:rPr>
            </w:pPr>
            <w:r w:rsidRPr="00355AAE">
              <w:rPr>
                <w:rFonts w:ascii="Arial" w:hAnsi="Arial"/>
                <w:b/>
              </w:rPr>
              <w:t>Parametr oferowany</w:t>
            </w:r>
          </w:p>
        </w:tc>
      </w:tr>
      <w:tr w:rsidR="00C754E3" w:rsidRPr="00373D1C" w:rsidTr="000B298E"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5" w:rsidRPr="00F05B85" w:rsidRDefault="00C754E3" w:rsidP="0087592B">
            <w:pPr>
              <w:pStyle w:val="TableContents"/>
              <w:ind w:right="-5299"/>
              <w:rPr>
                <w:rFonts w:ascii="Arial" w:hAnsi="Arial"/>
                <w:b/>
                <w:sz w:val="20"/>
                <w:szCs w:val="20"/>
              </w:rPr>
            </w:pPr>
            <w:r w:rsidRPr="00355AAE">
              <w:rPr>
                <w:rFonts w:ascii="Arial" w:hAnsi="Arial"/>
                <w:b/>
                <w:sz w:val="20"/>
                <w:szCs w:val="20"/>
              </w:rPr>
              <w:t>Czynności audytorskie- do zrealizowania przed upływem gwarancji, potwierdzone opracowaniem w wersji papierowej i elektronicznej</w:t>
            </w: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Inwentaryzacja i kwalifikacja narzędzi ( ze wskazaniem : do dalszego stosowan</w:t>
            </w:r>
            <w:r w:rsidR="001360D6">
              <w:rPr>
                <w:rFonts w:ascii="Arial" w:hAnsi="Arial"/>
                <w:sz w:val="20"/>
                <w:szCs w:val="20"/>
              </w:rPr>
              <w:t xml:space="preserve">ia  lub wskazaniem do naprawy, które zostanie wykonane do czasu upływu gwarancji, </w:t>
            </w:r>
            <w:r>
              <w:rPr>
                <w:rFonts w:ascii="Arial" w:hAnsi="Arial"/>
                <w:sz w:val="20"/>
                <w:szCs w:val="20"/>
              </w:rPr>
              <w:t>w postaci raportu w wersji elektronicznej i papierowej, zawierającej dla każdego narzędzia: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Nazwę narzędzia i opis umożliwiający jego identyfikację, ( ewentualnie zdjęcie co najmniej w skali 1:2)</w:t>
            </w:r>
          </w:p>
          <w:p w:rsidR="00C754E3" w:rsidRPr="00373D1C" w:rsidRDefault="00C754E3" w:rsidP="001360D6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Miejsce i czas sporządzenia raportu- 1 raz w roku, w trakcie trwania gwarancji, z możliwością rozbicia na raporty częściowe, dotyczące wskazanych odrębnie przez Zamawiającego jednostek organizacyjnych szpitala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16164"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5" w:rsidRPr="00F05B85" w:rsidRDefault="00C754E3" w:rsidP="00C754E3">
            <w:pPr>
              <w:rPr>
                <w:b/>
                <w:sz w:val="20"/>
                <w:szCs w:val="20"/>
              </w:rPr>
            </w:pPr>
            <w:r w:rsidRPr="00355AAE">
              <w:rPr>
                <w:b/>
                <w:sz w:val="20"/>
                <w:szCs w:val="20"/>
              </w:rPr>
              <w:t>Znakowanie narzędzi</w:t>
            </w: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Oznakowanie wszystkich przekazanych narzędzi kodem typu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DataMatrix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w sposób ustalony z Zamawiającym ( zawartość oznakowania, użyty symbol, itp.). Znakowanie nie dotyczy narzędzi nie nadających się do regeneracji i ostrzenia, o czym Wykonawca poinformuje Zamawiającego w treści raportu.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Oznakowanie kodem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DataMatrix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sposób pozwalający na pełną identyfikację narzędzi w każdym zestawie i możliwość skanowania każdego instrumentu w zestawie.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każdym indywidualnym kodzie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DataMatrix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zakodowana informacja o unikalnym numerze narzędzia/ kontenera.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wykorzystania kodu do synchronizacji z systemami informatycznymi i organizacją pracy w obrębie Bloku Operacyjnego i Centralnej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Sterylizatorni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 skład zestawów narzędzi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chirurgicznych, obieg w obrębie Bloku Operacyjnego i Centralnej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Sterylizatorni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planowanie regeneracji i wymiany narzędzi w zestawach).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Zamawiający wymaga, że podczas prowadzonej usługi nie ulegną zniszczeniu ( zatarciu, usunięciu) istniejące oznaczenia ( numery, Ø, rozmiary)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BF0785"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r w:rsidRPr="00355AAE">
              <w:rPr>
                <w:b/>
                <w:sz w:val="20"/>
                <w:szCs w:val="20"/>
              </w:rPr>
              <w:t>Obrót narzędziami</w:t>
            </w: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Zamawiający wymaga, aby czas obiegu narzędzi liczony był od momentu wysyłki do zwrotu na adres Zamawiającego ( do wyznaczonej osoby) do 14 dni roboczych.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Zamawiający wymaga, aby usługa zawierała transport i czynności mu towarzyszące: odbiór zwrot, ubezpieczenie na czas transportu.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Sposób komunikacji Zamawiającego z Wykonawcą: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Odbiór narzędzi od Upoważnionego przez Zamawiającego pracownika na podstawie protokołu przekazania</w:t>
            </w:r>
          </w:p>
          <w:p w:rsidR="00C754E3" w:rsidRPr="00373D1C" w:rsidRDefault="00C754E3" w:rsidP="00C754E3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Zwrot do Zamawiającego – Wykonawca poinformuje Zamawiającego drogą pisemną  o terminie zwrotu narzędzi ; zwrot na podstawie protokołu przekazania w obecności upoważnionego przez Zamawiającego pracownika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Zamawiający gwarantuje, że wszystkie narzędzia przekazane do Wykonawcy będą zdezynfekowane i w stanie gwarantującym bezpieczeństwo osób trzecich oraz prawidłowo zapakowane i rozpakowane.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4E3D2A"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r w:rsidRPr="00355AAE">
              <w:rPr>
                <w:b/>
                <w:sz w:val="20"/>
                <w:szCs w:val="20"/>
              </w:rPr>
              <w:t>Dokumentowanie czynności</w:t>
            </w: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Wszystkie czynności </w:t>
            </w:r>
            <w:r w:rsidR="001360D6">
              <w:rPr>
                <w:rFonts w:ascii="Arial" w:hAnsi="Arial"/>
                <w:sz w:val="20"/>
                <w:szCs w:val="20"/>
              </w:rPr>
              <w:t xml:space="preserve">naprawcze </w:t>
            </w:r>
            <w:r>
              <w:rPr>
                <w:rFonts w:ascii="Arial" w:hAnsi="Arial"/>
                <w:sz w:val="20"/>
                <w:szCs w:val="20"/>
              </w:rPr>
              <w:t>potwierdzone osobnym raportem zawierającym dla każdego narzędzia: opis przeprowadzonych czynności i informacja o dopuszczeniu ( lub nie) do bezpiecznej eksploatacji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Narzędzia po usłudze zostaną przekazane w profesjonalnym opakowaniu zabezpieczającym przed uszkodzeniem. Do każdej przesyłki zostanie dołączona lista narzędzi. Wykonawca jest zobowiązany do zwrotu wszystkich narzędzi w stanie nie gorszym niż otrzymał do wykonania usługi.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Zamawiający wymaga, aby wszystkie narzędzia zostały zwracane w identycznych pakietach jak przy przekazaniu, tzn. z podziałem na oddziały lub inne jednostki organizacyjne.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F05B85">
        <w:trPr>
          <w:trHeight w:val="234"/>
        </w:trPr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r w:rsidRPr="00355AAE">
              <w:rPr>
                <w:b/>
                <w:sz w:val="20"/>
                <w:szCs w:val="20"/>
              </w:rPr>
              <w:t>Wymagania względem wykonawcy</w:t>
            </w: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  <w:tr w:rsidR="00C754E3" w:rsidRPr="00373D1C" w:rsidTr="00C754E3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Default="00C754E3" w:rsidP="00C754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Wymagany park maszynowy ( podać typ, model, i numer seryjny urządzenia</w:t>
            </w:r>
            <w:r w:rsidR="007C49CC">
              <w:rPr>
                <w:rFonts w:ascii="Arial" w:hAnsi="Arial"/>
                <w:sz w:val="20"/>
                <w:szCs w:val="20"/>
              </w:rPr>
              <w:t>, przegląd techniczny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):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Szlifierki specjalistyczne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Urządzenia do matowania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Myjka ultradźwiękowa ( lub inna)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Piec hartowniczy</w:t>
            </w:r>
          </w:p>
          <w:p w:rsidR="00C754E3" w:rsidRDefault="00C754E3" w:rsidP="00C754E3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urządzeń do pasywacji narzędzi</w:t>
            </w:r>
          </w:p>
          <w:p w:rsidR="00C754E3" w:rsidRPr="001360D6" w:rsidRDefault="00C754E3" w:rsidP="001360D6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Urządzenie do znakowania kodem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DataMatrix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3" w:rsidRDefault="00C754E3" w:rsidP="00C754E3">
            <w:pPr>
              <w:jc w:val="center"/>
            </w:pPr>
            <w:r w:rsidRPr="008177CC">
              <w:rPr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4E3" w:rsidRPr="00373D1C" w:rsidRDefault="00C754E3" w:rsidP="00C754E3">
            <w:pPr>
              <w:pStyle w:val="TableContents"/>
              <w:ind w:right="-529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F74" w:rsidRDefault="00410F74"/>
    <w:p w:rsidR="004F5604" w:rsidRDefault="004F5604"/>
    <w:p w:rsidR="004F5604" w:rsidRDefault="004F5604"/>
    <w:p w:rsidR="004F5604" w:rsidRDefault="004F5604" w:rsidP="004F5604">
      <w:pPr>
        <w:ind w:left="4956" w:firstLine="708"/>
      </w:pPr>
      <w:r>
        <w:t>………………………………………………………………………………..</w:t>
      </w:r>
    </w:p>
    <w:p w:rsidR="004F5604" w:rsidRDefault="004F5604" w:rsidP="004F56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(miejscowość, data, podpis osoby uprawnionej)</w:t>
      </w:r>
    </w:p>
    <w:p w:rsidR="004F5604" w:rsidRDefault="004F5604"/>
    <w:sectPr w:rsidR="004F5604" w:rsidSect="0087592B">
      <w:footerReference w:type="default" r:id="rId9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B" w:rsidRDefault="00D053EB" w:rsidP="00A3644D">
      <w:pPr>
        <w:spacing w:after="0" w:line="240" w:lineRule="auto"/>
      </w:pPr>
      <w:r>
        <w:separator/>
      </w:r>
    </w:p>
  </w:endnote>
  <w:endnote w:type="continuationSeparator" w:id="0">
    <w:p w:rsidR="00D053EB" w:rsidRDefault="00D053EB" w:rsidP="00A3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55586"/>
      <w:docPartObj>
        <w:docPartGallery w:val="Page Numbers (Bottom of Page)"/>
        <w:docPartUnique/>
      </w:docPartObj>
    </w:sdtPr>
    <w:sdtEndPr/>
    <w:sdtContent>
      <w:p w:rsidR="00D24DCD" w:rsidRDefault="00D24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CC">
          <w:rPr>
            <w:noProof/>
          </w:rPr>
          <w:t>3</w:t>
        </w:r>
        <w:r>
          <w:fldChar w:fldCharType="end"/>
        </w:r>
      </w:p>
    </w:sdtContent>
  </w:sdt>
  <w:p w:rsidR="00A3644D" w:rsidRDefault="00A3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B" w:rsidRDefault="00D053EB" w:rsidP="00A3644D">
      <w:pPr>
        <w:spacing w:after="0" w:line="240" w:lineRule="auto"/>
      </w:pPr>
      <w:r>
        <w:separator/>
      </w:r>
    </w:p>
  </w:footnote>
  <w:footnote w:type="continuationSeparator" w:id="0">
    <w:p w:rsidR="00D053EB" w:rsidRDefault="00D053EB" w:rsidP="00A3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9D"/>
    <w:multiLevelType w:val="hybridMultilevel"/>
    <w:tmpl w:val="824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E0E86"/>
    <w:multiLevelType w:val="hybridMultilevel"/>
    <w:tmpl w:val="966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6801"/>
    <w:multiLevelType w:val="hybridMultilevel"/>
    <w:tmpl w:val="8C52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0784"/>
    <w:multiLevelType w:val="hybridMultilevel"/>
    <w:tmpl w:val="E54A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E6113"/>
    <w:multiLevelType w:val="hybridMultilevel"/>
    <w:tmpl w:val="ABEC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32413"/>
    <w:multiLevelType w:val="hybridMultilevel"/>
    <w:tmpl w:val="4408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B"/>
    <w:rsid w:val="00015AAC"/>
    <w:rsid w:val="0002285B"/>
    <w:rsid w:val="00023CEA"/>
    <w:rsid w:val="000506AD"/>
    <w:rsid w:val="0007792A"/>
    <w:rsid w:val="001360D6"/>
    <w:rsid w:val="00270CCF"/>
    <w:rsid w:val="002B11BB"/>
    <w:rsid w:val="00355AAE"/>
    <w:rsid w:val="00365DCA"/>
    <w:rsid w:val="00410F74"/>
    <w:rsid w:val="004B7E82"/>
    <w:rsid w:val="004F5604"/>
    <w:rsid w:val="00556CB4"/>
    <w:rsid w:val="006A4CB8"/>
    <w:rsid w:val="007C49CC"/>
    <w:rsid w:val="007F4641"/>
    <w:rsid w:val="008378E9"/>
    <w:rsid w:val="00867095"/>
    <w:rsid w:val="0087592B"/>
    <w:rsid w:val="008A68EF"/>
    <w:rsid w:val="00A04295"/>
    <w:rsid w:val="00A22AF8"/>
    <w:rsid w:val="00A3644D"/>
    <w:rsid w:val="00AB1AB1"/>
    <w:rsid w:val="00AD691C"/>
    <w:rsid w:val="00AF2D60"/>
    <w:rsid w:val="00C754E3"/>
    <w:rsid w:val="00D0463C"/>
    <w:rsid w:val="00D053EB"/>
    <w:rsid w:val="00D24DCD"/>
    <w:rsid w:val="00D47B3B"/>
    <w:rsid w:val="00D5096B"/>
    <w:rsid w:val="00DF6334"/>
    <w:rsid w:val="00F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87592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3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44D"/>
  </w:style>
  <w:style w:type="paragraph" w:styleId="Stopka">
    <w:name w:val="footer"/>
    <w:basedOn w:val="Normalny"/>
    <w:link w:val="StopkaZnak"/>
    <w:uiPriority w:val="99"/>
    <w:unhideWhenUsed/>
    <w:rsid w:val="00A3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44D"/>
  </w:style>
  <w:style w:type="paragraph" w:styleId="Tekstdymka">
    <w:name w:val="Balloon Text"/>
    <w:basedOn w:val="Normalny"/>
    <w:link w:val="TekstdymkaZnak"/>
    <w:uiPriority w:val="99"/>
    <w:semiHidden/>
    <w:unhideWhenUsed/>
    <w:rsid w:val="00A0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87592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3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44D"/>
  </w:style>
  <w:style w:type="paragraph" w:styleId="Stopka">
    <w:name w:val="footer"/>
    <w:basedOn w:val="Normalny"/>
    <w:link w:val="StopkaZnak"/>
    <w:uiPriority w:val="99"/>
    <w:unhideWhenUsed/>
    <w:rsid w:val="00A3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44D"/>
  </w:style>
  <w:style w:type="paragraph" w:styleId="Tekstdymka">
    <w:name w:val="Balloon Text"/>
    <w:basedOn w:val="Normalny"/>
    <w:link w:val="TekstdymkaZnak"/>
    <w:uiPriority w:val="99"/>
    <w:semiHidden/>
    <w:unhideWhenUsed/>
    <w:rsid w:val="00A0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A49F-A101-4E90-ACF3-1D69853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Kruk</dc:creator>
  <cp:keywords/>
  <dc:description/>
  <cp:lastModifiedBy>Zofia Garbiec</cp:lastModifiedBy>
  <cp:revision>23</cp:revision>
  <cp:lastPrinted>2019-05-21T06:35:00Z</cp:lastPrinted>
  <dcterms:created xsi:type="dcterms:W3CDTF">2018-03-11T10:37:00Z</dcterms:created>
  <dcterms:modified xsi:type="dcterms:W3CDTF">2019-06-25T09:59:00Z</dcterms:modified>
</cp:coreProperties>
</file>