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Zawiercie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dnia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</w:t>
      </w:r>
      <w:r w:rsidR="0005203A">
        <w:rPr>
          <w:rFonts w:ascii="Arial" w:hAnsi="Arial"/>
          <w:sz w:val="20"/>
          <w:szCs w:val="20"/>
          <w:lang w:val="en-US"/>
        </w:rPr>
        <w:t>18</w:t>
      </w:r>
      <w:bookmarkStart w:id="0" w:name="_GoBack"/>
      <w:bookmarkEnd w:id="0"/>
      <w:r>
        <w:rPr>
          <w:rFonts w:ascii="Arial" w:hAnsi="Arial"/>
          <w:sz w:val="20"/>
          <w:szCs w:val="20"/>
          <w:lang w:val="en-US"/>
        </w:rPr>
        <w:t>.02.2020 r.</w:t>
      </w:r>
    </w:p>
    <w:p w:rsidR="000E18B7" w:rsidRDefault="000E18B7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0E18B7" w:rsidRDefault="000E18B7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E18B7" w:rsidRDefault="000E18B7">
      <w:pPr>
        <w:suppressAutoHyphens/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E18B7" w:rsidRDefault="000D1BB0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WSZYSTKICH WYKONAWCÓW</w:t>
      </w: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DZP/PN/76/1/2019 – Dostawa odczynników laboratoryjnych wraz z najmem sprzętu – 2 pakiety</w:t>
      </w: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pStyle w:val="Akapitzlist"/>
        <w:numPr>
          <w:ilvl w:val="0"/>
          <w:numId w:val="2"/>
        </w:numPr>
        <w:spacing w:after="0" w:line="30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 – dotyczy pakietu nr 1 poz. 7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HTML-staaszeroko"/>
          <w:rFonts w:ascii="Arial" w:hAnsi="Arial" w:cs="Arial"/>
        </w:rPr>
        <w:t xml:space="preserve">Czy Zamawiający dopuści analizator o objętości </w:t>
      </w:r>
      <w:proofErr w:type="spellStart"/>
      <w:r>
        <w:rPr>
          <w:rStyle w:val="HTML-staaszeroko"/>
          <w:rFonts w:ascii="Arial" w:hAnsi="Arial" w:cs="Arial"/>
        </w:rPr>
        <w:t>aspirowanej</w:t>
      </w:r>
      <w:proofErr w:type="spellEnd"/>
      <w:r>
        <w:rPr>
          <w:rStyle w:val="HTML-staaszeroko"/>
          <w:rFonts w:ascii="Arial" w:hAnsi="Arial" w:cs="Arial"/>
        </w:rPr>
        <w:t xml:space="preserve"> próbki 20µl w trybie z mikropipety?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zgodnie z SIWZ.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 – dotyczy pakietu nr 1 poz. 9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HTML-staaszeroko"/>
          <w:rFonts w:ascii="Arial" w:hAnsi="Arial" w:cs="Arial"/>
        </w:rPr>
        <w:t>Czy Zamawiający dopuści liniowości: WBC 0,5-130x10</w:t>
      </w:r>
      <w:r>
        <w:rPr>
          <w:rStyle w:val="HTML-staaszeroko"/>
          <w:rFonts w:ascii="Arial" w:hAnsi="Arial" w:cs="Arial"/>
          <w:vertAlign w:val="superscript"/>
        </w:rPr>
        <w:t>9</w:t>
      </w:r>
      <w:r>
        <w:rPr>
          <w:rStyle w:val="HTML-staaszeroko"/>
          <w:rFonts w:ascii="Arial" w:hAnsi="Arial" w:cs="Arial"/>
        </w:rPr>
        <w:t>/L, HGB 2,0-24,0g/</w:t>
      </w:r>
      <w:proofErr w:type="spellStart"/>
      <w:r>
        <w:rPr>
          <w:rStyle w:val="HTML-staaszeroko"/>
          <w:rFonts w:ascii="Arial" w:hAnsi="Arial" w:cs="Arial"/>
        </w:rPr>
        <w:t>dL</w:t>
      </w:r>
      <w:proofErr w:type="spellEnd"/>
      <w:r>
        <w:rPr>
          <w:rStyle w:val="HTML-staaszeroko"/>
          <w:rFonts w:ascii="Arial" w:hAnsi="Arial" w:cs="Arial"/>
        </w:rPr>
        <w:t>, RBC 0,30 - 7,00x10</w:t>
      </w:r>
      <w:r>
        <w:rPr>
          <w:rStyle w:val="HTML-staaszeroko"/>
          <w:rFonts w:ascii="Arial" w:hAnsi="Arial" w:cs="Arial"/>
          <w:vertAlign w:val="superscript"/>
        </w:rPr>
        <w:t>12</w:t>
      </w:r>
      <w:r>
        <w:rPr>
          <w:rStyle w:val="HTML-staaszeroko"/>
          <w:rFonts w:ascii="Arial" w:hAnsi="Arial" w:cs="Arial"/>
        </w:rPr>
        <w:t>/L, PLT 20-1800x10</w:t>
      </w:r>
      <w:r>
        <w:rPr>
          <w:rStyle w:val="HTML-staaszeroko"/>
          <w:rFonts w:ascii="Arial" w:hAnsi="Arial" w:cs="Arial"/>
          <w:vertAlign w:val="superscript"/>
        </w:rPr>
        <w:t>9</w:t>
      </w:r>
      <w:r>
        <w:rPr>
          <w:rStyle w:val="HTML-staaszeroko"/>
          <w:rFonts w:ascii="Arial" w:hAnsi="Arial" w:cs="Arial"/>
        </w:rPr>
        <w:t>/L?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zgodnie z SIWZ.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3 – dotyczy pakietu nr 1 poz. 13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HTML-staaszeroko"/>
          <w:rFonts w:ascii="Arial" w:hAnsi="Arial" w:cs="Arial"/>
        </w:rPr>
        <w:t xml:space="preserve">Czy Zamawiający dopuści </w:t>
      </w:r>
      <w:proofErr w:type="spellStart"/>
      <w:r>
        <w:rPr>
          <w:rStyle w:val="HTML-staaszeroko"/>
          <w:rFonts w:ascii="Arial" w:hAnsi="Arial" w:cs="Arial"/>
        </w:rPr>
        <w:t>diluent</w:t>
      </w:r>
      <w:proofErr w:type="spellEnd"/>
      <w:r>
        <w:rPr>
          <w:rStyle w:val="HTML-staaszeroko"/>
          <w:rFonts w:ascii="Arial" w:hAnsi="Arial" w:cs="Arial"/>
        </w:rPr>
        <w:t xml:space="preserve"> w opakowaniach po 20L?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zgodnie z SIWZ.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4 – dotyczy </w:t>
      </w:r>
      <w:r>
        <w:rPr>
          <w:rFonts w:ascii="Arial" w:hAnsi="Arial" w:cs="Arial"/>
          <w:b/>
          <w:color w:val="000000"/>
          <w:sz w:val="20"/>
          <w:szCs w:val="20"/>
        </w:rPr>
        <w:t>Rozdziału XIV pkt. 6f) SIWZ; Oświadczenia pkt. VI. e) i i) (Załącznik nr 3 do SIWZ)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wyrazi zgodę na odstąpienie od wymogu dostarczenia świadectwa kontroli jakości na uzupełnienie oferty w zamian za udostępnienie przez Wykonawcę strony internetowej (w przypadku wygrania postępowania), z której Zamawiający będzie mógł samodzielnie w prosty sposób pobrać certyfikaty jakości dla określnego numeru katalogowego oraz nr LOT?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Zamawiający nie wyraża zgody. </w:t>
      </w: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5 – dotyczy </w:t>
      </w:r>
      <w:r>
        <w:rPr>
          <w:rFonts w:ascii="Arial" w:hAnsi="Arial" w:cs="Arial"/>
          <w:b/>
          <w:color w:val="000000"/>
          <w:sz w:val="20"/>
          <w:szCs w:val="20"/>
        </w:rPr>
        <w:t>Rozdziału XIV pkt. 6f) SIWZ; Oświadczenia pkt. VI. e) i i) (Załącznik nr 3 do SIWZ)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wyrazi zgodę na dostarczenie świadectw kontroli jakości w języku angielskim?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spacing w:after="0" w:line="300" w:lineRule="auto"/>
        <w:jc w:val="both"/>
      </w:pPr>
      <w:r>
        <w:rPr>
          <w:rFonts w:ascii="Arial" w:hAnsi="Arial" w:cs="Arial"/>
          <w:sz w:val="20"/>
          <w:szCs w:val="20"/>
        </w:rPr>
        <w:t xml:space="preserve">Tak, Zamawiający wyraża zgodę. </w:t>
      </w: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6 – dotyczy wzoru umowy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Zwracamy się z prośbą o potwierdzenie, że zapisy §1 ust. 3 i 4; §4, 6, 7, 9 ust. 1; §11 ust. 1 c) i d) odnoszą się wyłącznie do Pakietu nr 1.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potwierdza. 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7 – dotyczy </w:t>
      </w:r>
      <w:r>
        <w:rPr>
          <w:rFonts w:ascii="Arial" w:hAnsi="Arial" w:cs="Arial"/>
          <w:b/>
          <w:color w:val="000000"/>
          <w:sz w:val="20"/>
          <w:szCs w:val="20"/>
        </w:rPr>
        <w:t>§5 ust. 4 wzoru umowy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Biorąc pod uwagę, że oferowany sprzęt jest produkowany w kraju innym niż Polska, czy Zamawiający odstąpi od wymogu posiadania przez oferowany sprzęt etykiet handlowych (zarówno na opakowaniach jednostkowych jak i zbiorczych) w języku polskim?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Zgodnie z obowiązującą ustawą z dnia 20.05.2010 r. o wyrobach medycznych art. 14 pkt. 1 „wyroby przeznaczone do używania na terytorium RP mają oznakowania i instrukcję używania w języku polskim lub wyrażone za pomocą zharmonizowanych symboli lub rozpoznawalnych kodów” oraz pkt. 2 „dopuszcza się, aby wyroby przeznaczone do używania na terytorium Rzeczypospolitej Polskiej dostarczane profesjonalnym użytkownikom miały oznakowania lub instrukcje używania w języku angielskim, z wyjątkiem informacji przeznaczonych dla pacjenta, które podaje się w języku polskim lub wyraża za pomocą zharmonizowanych symboli lub rozpoznawalnych kodów.”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Czy zatem Zamawiający dopuści, aby oferowane wyroby posiadały etykiety zarówno na opakowaniu zbiorczym jak i indywidualnym w języku angielskim oraz symbole zharmonizowane - "Symbole graficzne do oznaczania wyrobów medycznych", które pozwalają na dokładną identyfikację produktu, numer jego serii, datę ważności, rozmiar, sterylność, metodę sterylizacji oraz wytwórcę?</w:t>
      </w:r>
    </w:p>
    <w:p w:rsidR="000E18B7" w:rsidRDefault="000D1BB0">
      <w:pPr>
        <w:pStyle w:val="Domylne"/>
        <w:spacing w:line="300" w:lineRule="auto"/>
        <w:jc w:val="both"/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Zamawiający dopuszcza</w:t>
      </w:r>
      <w:r>
        <w:rPr>
          <w:rFonts w:ascii="Verdana" w:eastAsia="Times New Roman" w:hAnsi="Verdana" w:cs="Arial"/>
          <w:sz w:val="18"/>
          <w:szCs w:val="18"/>
        </w:rPr>
        <w:t xml:space="preserve">. 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nr 8 – dotyczy </w:t>
      </w:r>
      <w:r>
        <w:rPr>
          <w:rFonts w:ascii="Arial" w:hAnsi="Arial" w:cs="Arial"/>
          <w:b/>
          <w:color w:val="000000"/>
          <w:sz w:val="20"/>
          <w:szCs w:val="20"/>
        </w:rPr>
        <w:t>§12 ust. 2 wzoru umowy</w:t>
      </w:r>
    </w:p>
    <w:p w:rsidR="000E18B7" w:rsidRDefault="000D1BB0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Zwracamy się z prośbą o dopisanie następującego zwrotu: „</w:t>
      </w:r>
      <w:r>
        <w:rPr>
          <w:rFonts w:ascii="Arial" w:hAnsi="Arial" w:cs="Arial"/>
          <w:i/>
          <w:iCs/>
          <w:color w:val="000000"/>
          <w:sz w:val="20"/>
          <w:szCs w:val="20"/>
        </w:rPr>
        <w:t>po uprzednim wezwaniu Wykonawcy do podjęcia działań</w:t>
      </w:r>
      <w:r>
        <w:rPr>
          <w:rFonts w:ascii="Arial" w:hAnsi="Arial" w:cs="Arial"/>
          <w:color w:val="000000"/>
          <w:sz w:val="20"/>
          <w:szCs w:val="20"/>
        </w:rPr>
        <w:t>.”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Nie, Zamawiający nie wyraża zgody. </w:t>
      </w:r>
    </w:p>
    <w:p w:rsidR="000E18B7" w:rsidRDefault="000E18B7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D1BB0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9 – dotyczy pakietu 2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odstąpi od wymogu jednego producenta w całym zakresie wyspecyfikowanego zamówienia i zezwoli na zaoferowanie szczepów wzorcowych innego producenta niż pozostały asortyment?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926CAA" w:rsidRDefault="00926CAA" w:rsidP="00926CAA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Nie, Zamawiający nie wyraża zgody. 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10 – dotyczy pakietu 2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w poz. 5 podłoże z dodatkiem krwi końskiej?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926CAA" w:rsidRDefault="00926CAA" w:rsidP="00926CAA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Tak, Zamawiający dopuszcza. 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11 – dotyczy wzoru umowy</w:t>
      </w:r>
    </w:p>
    <w:p w:rsidR="000E18B7" w:rsidRDefault="000D1BB0">
      <w:pPr>
        <w:spacing w:after="0" w:line="30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wyrazi zgodę na naliczania kar od </w:t>
      </w:r>
      <w:r>
        <w:rPr>
          <w:rFonts w:ascii="Arial" w:hAnsi="Arial" w:cs="Arial"/>
          <w:b/>
          <w:bCs/>
          <w:sz w:val="20"/>
          <w:szCs w:val="20"/>
        </w:rPr>
        <w:t>wartości NETTO</w:t>
      </w:r>
      <w:r>
        <w:rPr>
          <w:rFonts w:ascii="Arial" w:hAnsi="Arial" w:cs="Arial"/>
          <w:bCs/>
          <w:sz w:val="20"/>
          <w:szCs w:val="20"/>
        </w:rPr>
        <w:t xml:space="preserve"> niezrealizowanej dostawy?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bCs/>
          <w:sz w:val="20"/>
          <w:szCs w:val="20"/>
        </w:rPr>
        <w:t xml:space="preserve">§ 11 ust. 1 wzoru umowy. </w:t>
      </w:r>
    </w:p>
    <w:p w:rsidR="00926CAA" w:rsidRDefault="00926CAA">
      <w:pPr>
        <w:pStyle w:val="Domylne"/>
        <w:spacing w:line="300" w:lineRule="auto"/>
        <w:jc w:val="both"/>
        <w:rPr>
          <w:bCs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12 – dotyczy wzoru umowy</w:t>
      </w:r>
    </w:p>
    <w:p w:rsidR="000E18B7" w:rsidRDefault="000D1BB0">
      <w:pPr>
        <w:spacing w:after="0" w:line="30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(§ 11 pkt.2) Czy Zamawiający wyrazi zgodę na zmniejszenie procenta naliczanej kary do max. 5% wartości NETTO niezrealizowanej umowy?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Nie, Zamawiający nie wyraża zgody. </w:t>
      </w:r>
    </w:p>
    <w:p w:rsidR="000E18B7" w:rsidRDefault="000E18B7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E18B7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E18B7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E18B7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E18B7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E18B7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E18B7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13 – dotyczy wzoru umowy</w:t>
      </w:r>
    </w:p>
    <w:p w:rsidR="000E18B7" w:rsidRDefault="000D1BB0">
      <w:pPr>
        <w:spacing w:after="0" w:line="30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przypadku braku zgody na powyższe prosimy o </w:t>
      </w:r>
      <w:r>
        <w:rPr>
          <w:rFonts w:ascii="Arial" w:eastAsiaTheme="minorEastAsia" w:hAnsi="Arial" w:cs="Arial"/>
          <w:bCs/>
          <w:color w:val="000000" w:themeColor="text1"/>
          <w:kern w:val="2"/>
          <w:sz w:val="20"/>
          <w:szCs w:val="20"/>
        </w:rPr>
        <w:t>okazanie kalkulacji przyszłej, hipotetycznej szkody, jaką ma ponieść zamawiający w związku z niewykonaniem lub nienależytym wykonaniem umowy- zgodnie z przepisami.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6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Zgodnie z § 11 ust. 1 wzoru umowy. </w:t>
      </w:r>
    </w:p>
    <w:p w:rsidR="00926CAA" w:rsidRDefault="00926CAA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14 – dotyczy wzoru umowy</w:t>
      </w:r>
    </w:p>
    <w:p w:rsidR="000E18B7" w:rsidRDefault="000D1BB0">
      <w:pPr>
        <w:spacing w:after="0" w:line="300" w:lineRule="auto"/>
        <w:ind w:righ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Czy Zamawiający wyrazi zgodę na zwiększenie cen jednostkowych brutto, a co za tym idzie wartości brutto umowy, w przypadku ustawowej zmiany stawki VAT?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Zgodnie z § 14 ust. 2 lit. d) wzoru umowy. </w:t>
      </w:r>
    </w:p>
    <w:p w:rsidR="000E18B7" w:rsidRDefault="000E18B7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15 – dotyczy wzoru umowy</w:t>
      </w:r>
    </w:p>
    <w:p w:rsidR="000E18B7" w:rsidRDefault="000D1BB0">
      <w:pPr>
        <w:spacing w:after="0" w:line="300" w:lineRule="auto"/>
        <w:ind w:right="567"/>
        <w:jc w:val="both"/>
      </w:pPr>
      <w:r>
        <w:rPr>
          <w:rFonts w:ascii="Arial" w:hAnsi="Arial" w:cs="Arial"/>
          <w:bCs/>
          <w:color w:val="000000" w:themeColor="text1"/>
          <w:sz w:val="20"/>
          <w:szCs w:val="20"/>
        </w:rPr>
        <w:t>Czy Zamawiający dopuści zmianę stawki VAT dla produktu w przypadku uzasadnionej przez producenta zmiany klasyfikacji wyrobu i możliwości zastosowania uprzywilejowanej stawki VAT, zgodnie z zapisami Ustawy o VAT?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odpowiedzią na pytanie nr 14.</w:t>
      </w: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16 – dotyczy wzoru umowy</w:t>
      </w:r>
    </w:p>
    <w:p w:rsidR="000E18B7" w:rsidRDefault="000D1BB0">
      <w:pPr>
        <w:spacing w:after="0" w:line="300" w:lineRule="auto"/>
        <w:ind w:right="567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Czy Zamawiający dopuści zmianę stawki VAT w przypadku uzasadnionej przez producenta zmiany klasyfikacji wyrobu i braku możliwości dalszego stosowania uprzywilejowanej stawki VAT, zgodnie z zapisami Ustawy o VAT, z jednoczesnym podwyższeniem ceny jednostkowej brutto?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odpowiedzią na pytanie nr 14. </w:t>
      </w:r>
    </w:p>
    <w:p w:rsidR="00926CAA" w:rsidRDefault="00926CA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17 – dotyczy wzoru umowy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Czy Zamawiający wyrazi zgodę na dodanie w projekcie umowy zapisu, że zmiany umowy mogą nastąpić również w przypadku, gdy dotyczą poprawienia błędów i oczywistych omyłek słownych, literowych, liczbowych, numeracji jednostek redakcyjnych lub uzupełnień treści nie powodujących zmiany celu i istoty umowy?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Nie, Zamawiający nie wyraża zgody</w:t>
      </w:r>
      <w:r w:rsidR="00926CAA">
        <w:rPr>
          <w:rFonts w:ascii="Verdana" w:hAnsi="Verdana" w:cs="Arial"/>
          <w:sz w:val="18"/>
          <w:szCs w:val="18"/>
        </w:rPr>
        <w:t>.</w:t>
      </w:r>
    </w:p>
    <w:p w:rsidR="000E18B7" w:rsidRDefault="000E18B7">
      <w:pPr>
        <w:pStyle w:val="Domylne"/>
        <w:spacing w:line="360" w:lineRule="auto"/>
        <w:jc w:val="both"/>
        <w:rPr>
          <w:rFonts w:ascii="Verdana" w:eastAsia="Times New Roman" w:hAnsi="Verdana"/>
          <w:sz w:val="18"/>
          <w:szCs w:val="18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18 – dotyczy wzoru umowy</w:t>
      </w:r>
    </w:p>
    <w:p w:rsidR="000E18B7" w:rsidRDefault="000D1BB0">
      <w:pPr>
        <w:spacing w:after="0" w:line="30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Czy Zamawiający dopuści aneksowanie ze względu na zamianę oferowanego produktu na produkt równoważny w przypadku zmiany produktu lub producenta sprzętu?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Zgodnie z § 14 ust. 2 pkt b) wzoru umowy.</w:t>
      </w:r>
    </w:p>
    <w:p w:rsidR="000E18B7" w:rsidRDefault="000E18B7">
      <w:pPr>
        <w:pStyle w:val="Domyln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19 – dotyczy wzoru umowy</w:t>
      </w:r>
    </w:p>
    <w:p w:rsidR="000E18B7" w:rsidRDefault="000D1BB0">
      <w:pPr>
        <w:spacing w:after="0" w:line="30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Czy Zamawiający dopuści możliwość zaoferowania zamiennika o parametrach nie gorszych od proponowanego w umowie po powiadomieniu Zamawiającego  w wypadku wystąpienia przejściowego produktu?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odpowiedzią na pytanie nr 18.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20 – dotyczy wzoru umowy</w:t>
      </w:r>
    </w:p>
    <w:p w:rsidR="000E18B7" w:rsidRDefault="000D1BB0">
      <w:pPr>
        <w:spacing w:after="0" w:line="300" w:lineRule="auto"/>
        <w:ind w:right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wprowadzi możliwość wstrzymania dostaw w przypadku nierealizowania płatności?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 xml:space="preserve">Nie, Zamawiający nie wyraża zgody. </w:t>
      </w:r>
    </w:p>
    <w:p w:rsidR="000E18B7" w:rsidRDefault="000E18B7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E18B7" w:rsidRDefault="000D1BB0">
      <w:pPr>
        <w:pStyle w:val="Default"/>
        <w:spacing w:line="300" w:lineRule="auto"/>
        <w:jc w:val="both"/>
      </w:pPr>
      <w:r>
        <w:rPr>
          <w:rFonts w:ascii="Arial" w:hAnsi="Arial" w:cs="Arial"/>
          <w:b/>
          <w:sz w:val="20"/>
          <w:szCs w:val="20"/>
        </w:rPr>
        <w:t>Pytanie nr 21 – dotyczy wzoru umowy</w:t>
      </w:r>
    </w:p>
    <w:p w:rsidR="000E18B7" w:rsidRDefault="000D1BB0">
      <w:pPr>
        <w:spacing w:after="0" w:line="30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dopuści, po każdorazowej konsultacji z Zamawiającym w razie zaistnienia niniejszej sytuacji, możliwość zaoferowania zamiennika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producenta? W przypadku innego sposobu pakowania (konfekcji), cena za opakowanie zbiorcze oferowanego zamiennika zostałaby przeliczona w ten sposób, że cena za sztukę lub oznaczenie zamiennika byłaby równa cenie za sztukę lub oznaczenie produktu znajdującego się danej pozycji umowy.</w:t>
      </w:r>
    </w:p>
    <w:p w:rsidR="000E18B7" w:rsidRDefault="000D1BB0">
      <w:pPr>
        <w:spacing w:after="0" w:line="300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Uzasadnienie: Wprowadzenie niniejszego zapisu pozwoli zarówno na zabezpieczenie ciągłości procesu diagnostycznego i uchroni, zarówno Zamawiającego oraz Wykonawcę przed nieoczekiwanymi oraz niezależnymi od nich skutkami wypadków losowych, do których mogą należeć: czasowa awaria linii produkcyjnej u producenta, czasowe wycofanie produktu przez producenta brak dostępności surowców, niekorzystne zmiany makroekonomiczne czy wpływ klęsk żywiołowych.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odpowiedzią na pytanie nr 18.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22 – dotyczy SIWZ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dopuści możliwość załączenia dokumentacji przetargowej dotyczących produktów zaoferowanych w ofercie w postaci plików nagranych na </w:t>
      </w:r>
      <w:r>
        <w:rPr>
          <w:rFonts w:ascii="Arial" w:hAnsi="Arial" w:cs="Arial"/>
          <w:b/>
          <w:bCs/>
          <w:sz w:val="20"/>
          <w:szCs w:val="20"/>
        </w:rPr>
        <w:t>płycie CD wraz z oświadczeniem potwierdzającym zgodność kopii na płycie z elektronicznymi pierwowzorami</w:t>
      </w:r>
      <w:r>
        <w:rPr>
          <w:rFonts w:ascii="Arial" w:hAnsi="Arial" w:cs="Arial"/>
          <w:bCs/>
          <w:sz w:val="20"/>
          <w:szCs w:val="20"/>
        </w:rPr>
        <w:t>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926CAA" w:rsidP="00926CAA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Nie, Zamawiający nie wyraża zgody.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23 – dotyczy SIWZ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 przypadku konieczności dostarczenia dokumentów w postaci papierowej, czy Zamawiający wyrazi zgodę na przesłanie ich w postaci zbindowanych tomów, gdzie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poświadczenie za zgodność będzie widniało tylko na pierwszej stronie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tomu dla jego pozostałych stron?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926CAA" w:rsidRDefault="00926CAA" w:rsidP="00926CAA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Tak, Zamawiający dopuszcza. </w:t>
      </w:r>
    </w:p>
    <w:p w:rsidR="000E18B7" w:rsidRDefault="000E18B7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E18B7" w:rsidRDefault="000D1BB0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24 – dotyczy SIWZ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po podpisaniu umowy, w trakcie jej realizacji dopuści możliwość dostarczania dokumentacji produktowej do dostaw ( specyfikacje produktów) w formie elektronicznej?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926CAA" w:rsidRDefault="00926CAA" w:rsidP="00926CAA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Nie, Zamawiający nie dopuszcza.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 xml:space="preserve">Pytanie nr 25 – 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rozdziału XIV SIWZ pkt. 6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ppkt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. E</w:t>
      </w:r>
    </w:p>
    <w:p w:rsidR="000E18B7" w:rsidRDefault="000D1BB0">
      <w:pPr>
        <w:widowControl w:val="0"/>
        <w:suppressAutoHyphens/>
        <w:spacing w:after="0" w:line="30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Czy z uwagi na objętość instrukcji analizatora hematologicznego (150 stron) Zamawiający dopuści złożenie instrukcji na płycie CD wraz z oświadczeniem Wykonawcy potwierdzającym za zgodność z oryginałem?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926CAA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Nie, Zamawiający nie dopuszcza.</w:t>
      </w: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926CAA" w:rsidRDefault="00926CAA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26 – dotyczy pakietu nr 1 pkt 3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dopuści analizator posiadający oprogramowanie w języku angielskim? 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zgodnie z SIWZ.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27 – dotyczy pakietu nr 1 pkt 7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analizator aspirujący mniej niż 20ul bez opcji rozcieńczenia (</w:t>
      </w:r>
      <w:proofErr w:type="spellStart"/>
      <w:r>
        <w:rPr>
          <w:rFonts w:ascii="Arial" w:hAnsi="Arial" w:cs="Arial"/>
          <w:sz w:val="20"/>
          <w:szCs w:val="20"/>
        </w:rPr>
        <w:t>predilucji</w:t>
      </w:r>
      <w:proofErr w:type="spellEnd"/>
      <w:r>
        <w:rPr>
          <w:rFonts w:ascii="Arial" w:hAnsi="Arial" w:cs="Arial"/>
          <w:sz w:val="20"/>
          <w:szCs w:val="20"/>
        </w:rPr>
        <w:t>)?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zgodnie z SIWZ.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28 – dotyczy pakietu nr 1 pkt 9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dopuści analizator posiadający następujący zakres liniowości bez opcji wstępnego rozcieńczenia: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WBC – 0 do min 100*10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/ul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RBC – 0,1 do min 8*10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>/ul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HGB – 0,5 do 24 g/dl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 – 5 do min 2000*10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/ul 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Uzasadnienie: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Podany przez zamawiającego zakres liniowości analizatora hematologicznego sugeruje konkretną firmę oraz ogranicza zasadę uczciwej konkurencji w przypadku postępowań.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</w:pPr>
      <w:r>
        <w:rPr>
          <w:rFonts w:ascii="Arial" w:hAnsi="Arial" w:cs="Arial"/>
          <w:sz w:val="20"/>
          <w:szCs w:val="20"/>
        </w:rPr>
        <w:t xml:space="preserve">Nie, zgodnie z SIWZ. </w:t>
      </w:r>
    </w:p>
    <w:p w:rsidR="000E18B7" w:rsidRDefault="000E18B7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29 – dotyczy pakietu nr 1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wymaga zaoferowania krwi kontrolnej na 1 poziomie naprzemiennie w ilościach pozwalających na codzienną kontrolę z uwzględnieniem stabilności materiału po otwarciu zgodnie z informacjami zawartymi w ulotce producenta?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potwierdza.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D1BB0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nr 30 – dotyczy pakietu nr 1</w:t>
      </w:r>
    </w:p>
    <w:p w:rsidR="000E18B7" w:rsidRDefault="000D1BB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Czy Zamawiający zezwoli na dodawanie dodatkowych wierszy w zależności od potrzeb w przypadku części dotyczącej odczynników tak jak zezwolił w przypadku </w:t>
      </w:r>
      <w:r>
        <w:rPr>
          <w:rFonts w:ascii="Arial" w:hAnsi="Arial" w:cs="Arial"/>
          <w:b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 xml:space="preserve">Krew kontrolna, </w:t>
      </w:r>
      <w:r>
        <w:rPr>
          <w:rFonts w:ascii="Arial" w:hAnsi="Arial" w:cs="Arial"/>
          <w:b/>
          <w:sz w:val="20"/>
          <w:szCs w:val="20"/>
        </w:rPr>
        <w:t xml:space="preserve">III </w:t>
      </w:r>
      <w:r>
        <w:rPr>
          <w:rFonts w:ascii="Arial" w:hAnsi="Arial" w:cs="Arial"/>
          <w:sz w:val="20"/>
          <w:szCs w:val="20"/>
        </w:rPr>
        <w:t xml:space="preserve">Materiały eksploatacyjne i zużywalne i </w:t>
      </w:r>
      <w:r>
        <w:rPr>
          <w:rFonts w:ascii="Arial" w:hAnsi="Arial" w:cs="Arial"/>
          <w:b/>
          <w:sz w:val="20"/>
          <w:szCs w:val="20"/>
        </w:rPr>
        <w:t xml:space="preserve">IV </w:t>
      </w:r>
      <w:r>
        <w:rPr>
          <w:rFonts w:ascii="Arial" w:hAnsi="Arial" w:cs="Arial"/>
          <w:sz w:val="20"/>
          <w:szCs w:val="20"/>
        </w:rPr>
        <w:t>Najem?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Odpowiedź:</w:t>
      </w:r>
    </w:p>
    <w:p w:rsidR="000E18B7" w:rsidRDefault="000D1BB0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Tak, Zamawiający </w:t>
      </w:r>
      <w:r w:rsidR="00926CAA">
        <w:rPr>
          <w:rFonts w:ascii="Arial" w:hAnsi="Arial" w:cs="Arial"/>
          <w:sz w:val="20"/>
          <w:szCs w:val="20"/>
        </w:rPr>
        <w:t>dopuszcza</w:t>
      </w:r>
      <w:r>
        <w:rPr>
          <w:rFonts w:ascii="Arial" w:hAnsi="Arial" w:cs="Arial"/>
          <w:sz w:val="20"/>
          <w:szCs w:val="20"/>
        </w:rPr>
        <w:t>.</w:t>
      </w: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0E18B7" w:rsidRDefault="000E18B7">
      <w:pPr>
        <w:pStyle w:val="Domylne"/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0E18B7" w:rsidRDefault="000D1BB0">
      <w:pPr>
        <w:pStyle w:val="Akapitzlist"/>
        <w:widowControl w:val="0"/>
        <w:numPr>
          <w:ilvl w:val="0"/>
          <w:numId w:val="2"/>
        </w:numPr>
        <w:suppressAutoHyphens/>
        <w:spacing w:after="0" w:line="300" w:lineRule="auto"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pl-PL" w:bidi="hi-IN"/>
        </w:rPr>
        <w:t xml:space="preserve">Zamawiający </w:t>
      </w: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informuje, że </w:t>
      </w:r>
      <w:r>
        <w:rPr>
          <w:rFonts w:ascii="Arial" w:hAnsi="Arial" w:cs="Arial"/>
          <w:sz w:val="20"/>
          <w:szCs w:val="20"/>
        </w:rPr>
        <w:t>zmienia terminu składania i otwarcia ofert w prowadzonym postępowaniu przetargowym.</w:t>
      </w:r>
    </w:p>
    <w:p w:rsidR="000E18B7" w:rsidRDefault="000D1BB0">
      <w:pPr>
        <w:pStyle w:val="Domylne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Było: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Termin składania i otwarcia ofert – 20.02.2020 r. godz. 10:00 / 11:00</w:t>
      </w:r>
    </w:p>
    <w:p w:rsidR="000E18B7" w:rsidRDefault="000D1BB0">
      <w:pPr>
        <w:pStyle w:val="Domylne"/>
        <w:spacing w:line="30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Winno być: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Termin składania i otwarcia ofert – </w:t>
      </w:r>
      <w:r w:rsidR="0052067C"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>02.2020 r. godz. 10:00 / 11:00</w:t>
      </w:r>
    </w:p>
    <w:p w:rsidR="000E18B7" w:rsidRDefault="000E18B7">
      <w:pPr>
        <w:pStyle w:val="Domylne"/>
        <w:spacing w:line="30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0E18B7" w:rsidRDefault="000E18B7">
      <w:pPr>
        <w:pStyle w:val="Domylne"/>
        <w:spacing w:line="30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926CAA" w:rsidRDefault="00926CAA" w:rsidP="00926CAA">
      <w:pPr>
        <w:pStyle w:val="Domylne"/>
        <w:spacing w:line="300" w:lineRule="auto"/>
        <w:jc w:val="both"/>
      </w:pPr>
      <w:r w:rsidRPr="00926CAA">
        <w:t xml:space="preserve">  </w:t>
      </w:r>
    </w:p>
    <w:p w:rsidR="00926CAA" w:rsidRDefault="00926CAA" w:rsidP="00926CAA">
      <w:pPr>
        <w:pStyle w:val="Domylne"/>
        <w:spacing w:line="300" w:lineRule="auto"/>
        <w:jc w:val="both"/>
      </w:pPr>
    </w:p>
    <w:p w:rsidR="00926CAA" w:rsidRDefault="00926CAA" w:rsidP="00926CAA">
      <w:pPr>
        <w:pStyle w:val="Domylne"/>
        <w:spacing w:line="300" w:lineRule="auto"/>
        <w:jc w:val="both"/>
      </w:pPr>
    </w:p>
    <w:p w:rsidR="000E18B7" w:rsidRPr="005434E8" w:rsidRDefault="000E18B7" w:rsidP="00926CAA">
      <w:pPr>
        <w:pStyle w:val="Domylne"/>
        <w:spacing w:line="300" w:lineRule="auto"/>
        <w:jc w:val="both"/>
        <w:rPr>
          <w:rFonts w:ascii="Arial" w:hAnsi="Arial" w:cs="Arial"/>
        </w:rPr>
      </w:pPr>
    </w:p>
    <w:sectPr w:rsidR="000E18B7" w:rsidRPr="005434E8">
      <w:headerReference w:type="default" r:id="rId8"/>
      <w:pgSz w:w="11906" w:h="16838"/>
      <w:pgMar w:top="765" w:right="720" w:bottom="720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17" w:rsidRDefault="00E14A17">
      <w:pPr>
        <w:spacing w:after="0" w:line="240" w:lineRule="auto"/>
      </w:pPr>
      <w:r>
        <w:separator/>
      </w:r>
    </w:p>
  </w:endnote>
  <w:endnote w:type="continuationSeparator" w:id="0">
    <w:p w:rsidR="00E14A17" w:rsidRDefault="00E1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17" w:rsidRDefault="00E14A17">
      <w:pPr>
        <w:spacing w:after="0" w:line="240" w:lineRule="auto"/>
      </w:pPr>
      <w:r>
        <w:separator/>
      </w:r>
    </w:p>
  </w:footnote>
  <w:footnote w:type="continuationSeparator" w:id="0">
    <w:p w:rsidR="00E14A17" w:rsidRDefault="00E1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B7" w:rsidRDefault="000D1BB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7785100" cy="10912475"/>
              <wp:effectExtent l="0" t="0" r="0" b="0"/>
              <wp:wrapNone/>
              <wp:docPr id="1" name="WordPictureWatermark314314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314314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784640" cy="10911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143142" o:spid="shape_0" stroked="f" style="position:absolute;margin-left:-44.85pt;margin-top:-51.1pt;width:612.9pt;height:859.1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3855585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Z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3634912"/>
    <w:multiLevelType w:val="multilevel"/>
    <w:tmpl w:val="0E949F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07B1122"/>
    <w:multiLevelType w:val="multilevel"/>
    <w:tmpl w:val="F0A45B56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5B65"/>
    <w:multiLevelType w:val="hybridMultilevel"/>
    <w:tmpl w:val="1534BC2E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794A635A"/>
    <w:multiLevelType w:val="multilevel"/>
    <w:tmpl w:val="81169132"/>
    <w:lvl w:ilvl="0">
      <w:start w:val="1"/>
      <w:numFmt w:val="bullet"/>
      <w:lvlText w:val="·"/>
      <w:lvlJc w:val="left"/>
      <w:pPr>
        <w:ind w:left="0" w:firstLine="0"/>
      </w:pPr>
      <w:rPr>
        <w:rFonts w:ascii="Arial" w:hAnsi="Arial" w:cs="Arial" w:hint="default"/>
        <w:color w:val="040404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7"/>
    <w:rsid w:val="0005203A"/>
    <w:rsid w:val="000D1BB0"/>
    <w:rsid w:val="000E18B7"/>
    <w:rsid w:val="0052067C"/>
    <w:rsid w:val="005434E8"/>
    <w:rsid w:val="00926CAA"/>
    <w:rsid w:val="00DA1D9B"/>
    <w:rsid w:val="00E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law">
    <w:name w:val="law"/>
    <w:basedOn w:val="Domylnaczcionkaakapitu"/>
    <w:qFormat/>
    <w:rsid w:val="007916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26"/>
    <w:rPr>
      <w:color w:val="00000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9162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91626"/>
    <w:rPr>
      <w:color w:val="00000A"/>
    </w:rPr>
  </w:style>
  <w:style w:type="character" w:customStyle="1" w:styleId="cze">
    <w:name w:val="Łącze"/>
    <w:qFormat/>
    <w:rsid w:val="00A6182D"/>
    <w:rPr>
      <w:u w:val="single"/>
    </w:rPr>
  </w:style>
  <w:style w:type="character" w:customStyle="1" w:styleId="Hyperlink0">
    <w:name w:val="Hyperlink.0"/>
    <w:basedOn w:val="cze"/>
    <w:qFormat/>
    <w:rsid w:val="00A6182D"/>
    <w:rPr>
      <w:sz w:val="16"/>
      <w:szCs w:val="16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16E"/>
    <w:rPr>
      <w:rFonts w:ascii="Segoe UI" w:hAnsi="Segoe UI" w:cs="Segoe UI"/>
      <w:color w:val="00000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07CE7"/>
    <w:rPr>
      <w:color w:val="00000A"/>
    </w:rPr>
  </w:style>
  <w:style w:type="character" w:customStyle="1" w:styleId="Wyrnienie">
    <w:name w:val="Wyróżnienie"/>
    <w:uiPriority w:val="20"/>
    <w:qFormat/>
    <w:rsid w:val="00E91F6A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2">
    <w:name w:val="Font Style32"/>
    <w:basedOn w:val="Domylnaczcionkaakapitu"/>
    <w:uiPriority w:val="99"/>
    <w:qFormat/>
    <w:rsid w:val="00A9575B"/>
    <w:rPr>
      <w:rFonts w:ascii="Bookman Old Style" w:hAnsi="Bookman Old Style" w:cs="Bookman Old Style"/>
      <w:sz w:val="18"/>
      <w:szCs w:val="18"/>
    </w:rPr>
  </w:style>
  <w:style w:type="character" w:customStyle="1" w:styleId="apple-converted-space">
    <w:name w:val="apple-converted-space"/>
    <w:qFormat/>
    <w:rsid w:val="00166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11A03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11A03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5228ED"/>
    <w:rPr>
      <w:rFonts w:ascii="Courier New" w:eastAsiaTheme="minorHAnsi" w:hAnsi="Courier New" w:cs="Courier New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cs="Times New Roman"/>
      <w:color w:val="aut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91626"/>
    <w:pPr>
      <w:ind w:left="720"/>
      <w:contextualSpacing/>
    </w:pPr>
  </w:style>
  <w:style w:type="paragraph" w:customStyle="1" w:styleId="Standard">
    <w:name w:val="Standard"/>
    <w:basedOn w:val="Normalny"/>
    <w:qFormat/>
    <w:rsid w:val="005051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Domylne">
    <w:name w:val="Domyślne"/>
    <w:qFormat/>
    <w:rsid w:val="00A6182D"/>
    <w:rPr>
      <w:rFonts w:ascii="Helvetica" w:eastAsia="Arial Unicode MS" w:hAnsi="Helvetica" w:cs="Arial Unicode MS"/>
      <w:color w:val="000000"/>
      <w:lang w:eastAsia="pl-PL"/>
    </w:rPr>
  </w:style>
  <w:style w:type="paragraph" w:customStyle="1" w:styleId="Nagwekistopka">
    <w:name w:val="Nagłówek i stopka"/>
    <w:qFormat/>
    <w:rsid w:val="00A6182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734B3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paragraph" w:customStyle="1" w:styleId="Default">
    <w:name w:val="Default"/>
    <w:qFormat/>
    <w:rsid w:val="0076319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A9575B"/>
    <w:pPr>
      <w:widowControl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eastAsia="Times New Roman" w:cs="Times New Roman"/>
      <w:color w:val="191919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numbering" w:customStyle="1" w:styleId="Numery">
    <w:name w:val="Numery"/>
    <w:qFormat/>
    <w:rsid w:val="00A6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law">
    <w:name w:val="law"/>
    <w:basedOn w:val="Domylnaczcionkaakapitu"/>
    <w:qFormat/>
    <w:rsid w:val="007916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91626"/>
    <w:rPr>
      <w:color w:val="00000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91626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91626"/>
    <w:rPr>
      <w:color w:val="00000A"/>
    </w:rPr>
  </w:style>
  <w:style w:type="character" w:customStyle="1" w:styleId="cze">
    <w:name w:val="Łącze"/>
    <w:qFormat/>
    <w:rsid w:val="00A6182D"/>
    <w:rPr>
      <w:u w:val="single"/>
    </w:rPr>
  </w:style>
  <w:style w:type="character" w:customStyle="1" w:styleId="Hyperlink0">
    <w:name w:val="Hyperlink.0"/>
    <w:basedOn w:val="cze"/>
    <w:qFormat/>
    <w:rsid w:val="00A6182D"/>
    <w:rPr>
      <w:sz w:val="16"/>
      <w:szCs w:val="16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416E"/>
    <w:rPr>
      <w:rFonts w:ascii="Segoe UI" w:hAnsi="Segoe UI" w:cs="Segoe UI"/>
      <w:color w:val="00000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07CE7"/>
    <w:rPr>
      <w:color w:val="00000A"/>
    </w:rPr>
  </w:style>
  <w:style w:type="character" w:customStyle="1" w:styleId="Wyrnienie">
    <w:name w:val="Wyróżnienie"/>
    <w:uiPriority w:val="20"/>
    <w:qFormat/>
    <w:rsid w:val="00E91F6A"/>
    <w:rPr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2">
    <w:name w:val="Font Style32"/>
    <w:basedOn w:val="Domylnaczcionkaakapitu"/>
    <w:uiPriority w:val="99"/>
    <w:qFormat/>
    <w:rsid w:val="00A9575B"/>
    <w:rPr>
      <w:rFonts w:ascii="Bookman Old Style" w:hAnsi="Bookman Old Style" w:cs="Bookman Old Style"/>
      <w:sz w:val="18"/>
      <w:szCs w:val="18"/>
    </w:rPr>
  </w:style>
  <w:style w:type="character" w:customStyle="1" w:styleId="apple-converted-space">
    <w:name w:val="apple-converted-space"/>
    <w:qFormat/>
    <w:rsid w:val="00166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11A03"/>
    <w:rPr>
      <w:color w:val="00000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11A03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5228ED"/>
    <w:rPr>
      <w:rFonts w:ascii="Courier New" w:eastAsiaTheme="minorHAnsi" w:hAnsi="Courier New" w:cs="Courier New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cs="Times New Roman"/>
      <w:color w:val="aut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91626"/>
    <w:pPr>
      <w:ind w:left="720"/>
      <w:contextualSpacing/>
    </w:pPr>
  </w:style>
  <w:style w:type="paragraph" w:customStyle="1" w:styleId="Standard">
    <w:name w:val="Standard"/>
    <w:basedOn w:val="Normalny"/>
    <w:qFormat/>
    <w:rsid w:val="005051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Domylne">
    <w:name w:val="Domyślne"/>
    <w:qFormat/>
    <w:rsid w:val="00A6182D"/>
    <w:rPr>
      <w:rFonts w:ascii="Helvetica" w:eastAsia="Arial Unicode MS" w:hAnsi="Helvetica" w:cs="Arial Unicode MS"/>
      <w:color w:val="000000"/>
      <w:lang w:eastAsia="pl-PL"/>
    </w:rPr>
  </w:style>
  <w:style w:type="paragraph" w:customStyle="1" w:styleId="Nagwekistopka">
    <w:name w:val="Nagłówek i stopka"/>
    <w:qFormat/>
    <w:rsid w:val="00A6182D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734B3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paragraph" w:customStyle="1" w:styleId="Default">
    <w:name w:val="Default"/>
    <w:qFormat/>
    <w:rsid w:val="0076319E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A9575B"/>
    <w:pPr>
      <w:widowControl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eastAsia="Times New Roman" w:cs="Times New Roman"/>
      <w:color w:val="191919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numbering" w:customStyle="1" w:styleId="Numery">
    <w:name w:val="Numery"/>
    <w:qFormat/>
    <w:rsid w:val="00A6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5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dc:description/>
  <cp:lastModifiedBy>Katarzyna Nowak</cp:lastModifiedBy>
  <cp:revision>97</cp:revision>
  <cp:lastPrinted>2020-02-13T08:22:00Z</cp:lastPrinted>
  <dcterms:created xsi:type="dcterms:W3CDTF">2019-03-25T13:07:00Z</dcterms:created>
  <dcterms:modified xsi:type="dcterms:W3CDTF">2020-02-18T09:04:00Z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