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"/>
        <w:widowControl/>
        <w:shd w:val="clear" w:color="auto" w:fill="auto"/>
        <w:bidi w:val="0"/>
        <w:spacing w:lineRule="exact" w:line="230" w:before="0" w:after="212"/>
        <w:ind w:right="-227" w:hanging="0"/>
        <w:jc w:val="right"/>
        <w:rPr/>
      </w:pPr>
      <w:r>
        <w:rPr>
          <w:rFonts w:ascii="Calibri" w:hAnsi="Calibri"/>
          <w:sz w:val="20"/>
          <w:szCs w:val="20"/>
        </w:rPr>
        <w:t>Załącznik nr 1 do warunków przetargu</w:t>
      </w:r>
      <w:r>
        <w:rPr>
          <w:rFonts w:ascii="Calibri" w:hAnsi="Calibri"/>
          <w:sz w:val="22"/>
          <w:szCs w:val="22"/>
        </w:rPr>
        <w:t xml:space="preserve"> </w:t>
      </w:r>
    </w:p>
    <w:p>
      <w:pPr>
        <w:pStyle w:val="Bodytext2"/>
        <w:shd w:val="clear" w:color="auto" w:fill="auto"/>
        <w:spacing w:lineRule="exact" w:line="230" w:before="0" w:after="122"/>
        <w:ind w:right="80" w:hanging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Bodytext2"/>
        <w:shd w:val="clear" w:color="auto" w:fill="auto"/>
        <w:spacing w:lineRule="exact" w:line="230" w:before="0" w:after="122"/>
        <w:ind w:right="80" w:hanging="0"/>
        <w:jc w:val="center"/>
        <w:rPr>
          <w:b/>
          <w:b/>
          <w:bCs/>
        </w:rPr>
      </w:pPr>
      <w:r>
        <w:rPr>
          <w:rFonts w:ascii="Calibri" w:hAnsi="Calibri"/>
          <w:b/>
          <w:bCs/>
          <w:sz w:val="22"/>
          <w:szCs w:val="22"/>
        </w:rPr>
        <w:t xml:space="preserve">OPIS </w:t>
      </w:r>
      <w:r>
        <w:rPr>
          <w:rFonts w:eastAsia="Times New Roman" w:cs="Times New Roman" w:ascii="Calibri" w:hAnsi="Calibri"/>
          <w:b/>
          <w:bCs/>
          <w:color w:val="000000"/>
          <w:sz w:val="22"/>
          <w:szCs w:val="22"/>
          <w:lang w:val="pl-PL" w:eastAsia="pl-PL" w:bidi="ar-SA"/>
        </w:rPr>
        <w:t>PRZEDMIOTU</w:t>
      </w:r>
    </w:p>
    <w:p>
      <w:pPr>
        <w:pStyle w:val="Bodytext2"/>
        <w:shd w:val="clear" w:color="auto" w:fill="auto"/>
        <w:spacing w:lineRule="exact" w:line="312" w:before="0" w:after="178"/>
        <w:ind w:right="82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ab/>
        <w:t xml:space="preserve">Przedmiotem przetargu jest węgiel kamienny, </w:t>
      </w:r>
      <w:r>
        <w:rPr>
          <w:rFonts w:eastAsia="Times New Roman" w:cs="Times New Roman" w:ascii="Calibri" w:hAnsi="Calibri"/>
          <w:color w:val="000000"/>
          <w:sz w:val="20"/>
          <w:szCs w:val="20"/>
          <w:lang w:val="pl-PL" w:eastAsia="pl-PL" w:bidi="ar-SA"/>
        </w:rPr>
        <w:t xml:space="preserve">składowany w siedzibie Szpitala Powiatowego </w:t>
        <w:br/>
        <w:t>w Zawierciu przy ul. Miodowej 14</w:t>
      </w:r>
      <w:r>
        <w:rPr>
          <w:rFonts w:ascii="Calibri" w:hAnsi="Calibri"/>
          <w:color w:val="000000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o  następujących parametrach technicznych i cenie wywoławczej:</w:t>
      </w:r>
    </w:p>
    <w:tbl>
      <w:tblPr>
        <w:tblStyle w:val="Tabela-Siatka"/>
        <w:tblW w:w="9700" w:type="dxa"/>
        <w:jc w:val="left"/>
        <w:tblInd w:w="-177" w:type="dxa"/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1017"/>
        <w:gridCol w:w="1536"/>
        <w:gridCol w:w="1650"/>
        <w:gridCol w:w="1467"/>
        <w:gridCol w:w="2100"/>
        <w:gridCol w:w="1929"/>
      </w:tblGrid>
      <w:tr>
        <w:trPr/>
        <w:tc>
          <w:tcPr>
            <w:tcW w:w="1017" w:type="dxa"/>
            <w:tcBorders>
              <w:right w:val="nil"/>
              <w:insideV w:val="nil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Bodytext2"/>
              <w:shd w:val="clear" w:color="auto" w:fill="auto"/>
              <w:spacing w:lineRule="exact" w:line="220" w:before="0" w:after="0"/>
              <w:ind w:left="14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entury Gothic" w:ascii="Calibri" w:hAnsi="Calibri"/>
                <w:sz w:val="20"/>
                <w:szCs w:val="20"/>
              </w:rPr>
              <w:t>Lp.</w:t>
            </w:r>
          </w:p>
        </w:tc>
        <w:tc>
          <w:tcPr>
            <w:tcW w:w="1536" w:type="dxa"/>
            <w:tcBorders>
              <w:right w:val="nil"/>
              <w:insideV w:val="nil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Bodytext2"/>
              <w:shd w:val="clear" w:color="auto" w:fill="auto"/>
              <w:spacing w:lineRule="exact" w:line="220" w:before="0" w:after="0"/>
              <w:ind w:left="12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entury Gothic" w:ascii="Calibri" w:hAnsi="Calibri"/>
                <w:sz w:val="20"/>
                <w:szCs w:val="20"/>
              </w:rPr>
              <w:t>Nazwa środka trwałego i dane techniczne</w:t>
            </w:r>
          </w:p>
        </w:tc>
        <w:tc>
          <w:tcPr>
            <w:tcW w:w="1650" w:type="dxa"/>
            <w:tcBorders>
              <w:right w:val="nil"/>
              <w:insideV w:val="nil"/>
            </w:tcBorders>
            <w:shd w:fill="auto" w:val="clear"/>
            <w:tcMar>
              <w:left w:w="50" w:type="dxa"/>
            </w:tcMar>
          </w:tcPr>
          <w:p>
            <w:pPr>
              <w:pStyle w:val="Bodytext2"/>
              <w:shd w:val="clear" w:color="auto" w:fill="auto"/>
              <w:spacing w:lineRule="auto" w:line="240" w:before="0" w:after="0"/>
              <w:ind w:left="119" w:hanging="0"/>
              <w:jc w:val="center"/>
              <w:rPr>
                <w:rFonts w:eastAsia="Century Gothic"/>
                <w:sz w:val="20"/>
                <w:szCs w:val="20"/>
              </w:rPr>
            </w:pPr>
            <w:r>
              <w:rPr>
                <w:rFonts w:eastAsia="Century Gothic"/>
                <w:sz w:val="20"/>
                <w:szCs w:val="20"/>
              </w:rPr>
            </w:r>
          </w:p>
          <w:p>
            <w:pPr>
              <w:pStyle w:val="Bodytext2"/>
              <w:shd w:val="clear" w:color="auto" w:fill="auto"/>
              <w:spacing w:lineRule="auto" w:line="240" w:before="0" w:after="0"/>
              <w:ind w:left="119" w:hanging="0"/>
              <w:jc w:val="center"/>
              <w:rPr/>
            </w:pPr>
            <w:r>
              <w:rPr>
                <w:rFonts w:eastAsia="Century Gothic" w:ascii="Calibri" w:hAnsi="Calibri"/>
                <w:color w:val="000000"/>
                <w:sz w:val="20"/>
                <w:szCs w:val="20"/>
              </w:rPr>
              <w:t xml:space="preserve">Opis </w:t>
            </w:r>
          </w:p>
        </w:tc>
        <w:tc>
          <w:tcPr>
            <w:tcW w:w="1467" w:type="dxa"/>
            <w:tcBorders>
              <w:right w:val="nil"/>
              <w:insideV w:val="nil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Bodytext2"/>
              <w:shd w:val="clear" w:color="auto" w:fill="auto"/>
              <w:spacing w:lineRule="auto" w:line="240" w:before="0" w:after="0"/>
              <w:ind w:left="119" w:hanging="0"/>
              <w:jc w:val="center"/>
              <w:rPr/>
            </w:pPr>
            <w:r>
              <w:rPr>
                <w:rFonts w:eastAsia="Century Gothic" w:ascii="Calibri" w:hAnsi="Calibri"/>
                <w:color w:val="000000"/>
                <w:sz w:val="20"/>
                <w:szCs w:val="20"/>
              </w:rPr>
              <w:t xml:space="preserve">Ilość w </w:t>
            </w:r>
            <w:r>
              <w:rPr>
                <w:rFonts w:eastAsia="Century Gothic" w:ascii="Calibri" w:hAnsi="Calibri"/>
                <w:color w:val="000000"/>
                <w:sz w:val="20"/>
                <w:szCs w:val="20"/>
              </w:rPr>
              <w:t>kilogramach</w:t>
            </w:r>
          </w:p>
        </w:tc>
        <w:tc>
          <w:tcPr>
            <w:tcW w:w="2100" w:type="dxa"/>
            <w:tcBorders>
              <w:right w:val="nil"/>
              <w:insideV w:val="nil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Bodytext2"/>
              <w:shd w:val="clear" w:color="auto" w:fill="auto"/>
              <w:spacing w:lineRule="auto" w:line="240" w:before="0" w:after="0"/>
              <w:ind w:left="119" w:hanging="0"/>
              <w:jc w:val="center"/>
              <w:rPr/>
            </w:pPr>
            <w:r>
              <w:rPr>
                <w:rFonts w:eastAsia="Century Gothic" w:ascii="Calibri" w:hAnsi="Calibri"/>
                <w:color w:val="000000"/>
                <w:sz w:val="20"/>
                <w:szCs w:val="20"/>
              </w:rPr>
              <w:t xml:space="preserve">Wartość  netto (  za </w:t>
              <w:br/>
            </w:r>
            <w:r>
              <w:rPr>
                <w:rFonts w:eastAsia="Century Gothic" w:ascii="Calibri" w:hAnsi="Calibri"/>
                <w:color w:val="000000"/>
                <w:sz w:val="20"/>
                <w:szCs w:val="20"/>
              </w:rPr>
              <w:t>1</w:t>
            </w:r>
            <w:r>
              <w:rPr>
                <w:rFonts w:eastAsia="Century Gothic"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entury Gothic" w:ascii="Calibri" w:hAnsi="Calibri"/>
                <w:color w:val="000000"/>
                <w:sz w:val="20"/>
                <w:szCs w:val="20"/>
              </w:rPr>
              <w:t>kilogram</w:t>
            </w:r>
            <w:r>
              <w:rPr>
                <w:rFonts w:eastAsia="Century Gothic" w:ascii="Calibri" w:hAnsi="Calibri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1929" w:type="dxa"/>
            <w:tcBorders/>
            <w:shd w:fill="auto" w:val="clear"/>
            <w:tcMar>
              <w:left w:w="50" w:type="dxa"/>
            </w:tcMar>
            <w:vAlign w:val="center"/>
          </w:tcPr>
          <w:p>
            <w:pPr>
              <w:pStyle w:val="Bodytext2"/>
              <w:shd w:val="clear" w:color="auto" w:fill="auto"/>
              <w:spacing w:lineRule="auto" w:line="240" w:before="0" w:after="0"/>
              <w:ind w:left="119" w:hanging="0"/>
              <w:jc w:val="center"/>
              <w:rPr/>
            </w:pPr>
            <w:r>
              <w:rPr>
                <w:rFonts w:eastAsia="Century Gothic" w:cs="Times New Roman" w:ascii="Calibri" w:hAnsi="Calibri"/>
                <w:color w:val="000000"/>
                <w:sz w:val="20"/>
                <w:szCs w:val="20"/>
                <w:lang w:val="pl-PL" w:eastAsia="pl-PL" w:bidi="ar-SA"/>
              </w:rPr>
              <w:t>Wartość</w:t>
            </w:r>
            <w:r>
              <w:rPr>
                <w:rFonts w:eastAsia="Century Gothic" w:ascii="Calibri" w:hAnsi="Calibri"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Century Gothic" w:cs="Times New Roman" w:ascii="Calibri" w:hAnsi="Calibri"/>
                <w:color w:val="000000"/>
                <w:sz w:val="20"/>
                <w:szCs w:val="20"/>
                <w:lang w:val="pl-PL" w:eastAsia="pl-PL" w:bidi="ar-SA"/>
              </w:rPr>
              <w:t xml:space="preserve">brutto </w:t>
            </w:r>
            <w:r>
              <w:rPr>
                <w:rFonts w:eastAsia="Century Gothic" w:cs="Times New Roman" w:ascii="Calibri" w:hAnsi="Calibri"/>
                <w:color w:val="000000"/>
                <w:sz w:val="20"/>
                <w:szCs w:val="20"/>
                <w:lang w:val="pl-PL" w:eastAsia="pl-PL" w:bidi="ar-SA"/>
              </w:rPr>
              <w:t xml:space="preserve">( za </w:t>
            </w:r>
            <w:r>
              <w:rPr>
                <w:rFonts w:eastAsia="Century Gothic" w:cs="Times New Roman" w:ascii="Calibri" w:hAnsi="Calibri"/>
                <w:color w:val="000000"/>
                <w:sz w:val="20"/>
                <w:szCs w:val="20"/>
                <w:lang w:val="pl-PL" w:eastAsia="pl-PL" w:bidi="ar-SA"/>
              </w:rPr>
              <w:t>1</w:t>
            </w:r>
            <w:r>
              <w:rPr>
                <w:rFonts w:eastAsia="Century Gothic" w:cs="Times New Roman" w:ascii="Calibri" w:hAnsi="Calibri"/>
                <w:color w:val="000000"/>
                <w:sz w:val="20"/>
                <w:szCs w:val="20"/>
                <w:lang w:val="pl-PL" w:eastAsia="pl-PL" w:bidi="ar-SA"/>
              </w:rPr>
              <w:t xml:space="preserve"> kilogram)</w:t>
            </w:r>
          </w:p>
        </w:tc>
      </w:tr>
      <w:tr>
        <w:trPr/>
        <w:tc>
          <w:tcPr>
            <w:tcW w:w="101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Bodytext2"/>
              <w:shd w:val="clear" w:color="auto" w:fill="auto"/>
              <w:spacing w:lineRule="exact" w:line="307" w:before="0" w:after="239"/>
              <w:ind w:right="30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3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50" w:type="dxa"/>
            </w:tcMar>
          </w:tcPr>
          <w:p>
            <w:pPr>
              <w:pStyle w:val="Bodytext2"/>
              <w:shd w:val="clear" w:color="auto" w:fill="auto"/>
              <w:spacing w:lineRule="auto" w:line="240" w:before="0" w:after="0"/>
              <w:ind w:left="119" w:hanging="0"/>
              <w:jc w:val="center"/>
              <w:rPr>
                <w:rFonts w:ascii="Times New Roman" w:hAnsi="Times New Roman" w:eastAsia="Century Gothic" w:cs="Times New Roman"/>
                <w:color w:val="000000"/>
                <w:sz w:val="20"/>
                <w:szCs w:val="20"/>
                <w:lang w:val="pl-PL" w:eastAsia="pl-PL" w:bidi="ar-SA"/>
              </w:rPr>
            </w:pPr>
            <w:r>
              <w:rPr>
                <w:rFonts w:eastAsia="Century Gothic" w:cs="Times New Roman"/>
                <w:color w:val="000000"/>
                <w:sz w:val="20"/>
                <w:szCs w:val="20"/>
                <w:lang w:val="pl-PL" w:eastAsia="pl-PL" w:bidi="ar-SA"/>
              </w:rPr>
            </w:r>
          </w:p>
          <w:p>
            <w:pPr>
              <w:pStyle w:val="Bodytext2"/>
              <w:shd w:val="clear" w:color="auto" w:fill="auto"/>
              <w:spacing w:lineRule="auto" w:line="240" w:before="0" w:after="0"/>
              <w:ind w:left="119" w:hanging="0"/>
              <w:jc w:val="center"/>
              <w:rPr>
                <w:rFonts w:ascii="Times New Roman" w:hAnsi="Times New Roman" w:eastAsia="Century Gothic" w:cs="Times New Roman"/>
                <w:color w:val="000000"/>
                <w:sz w:val="20"/>
                <w:szCs w:val="20"/>
                <w:lang w:val="pl-PL" w:eastAsia="pl-PL" w:bidi="ar-SA"/>
              </w:rPr>
            </w:pPr>
            <w:r>
              <w:rPr>
                <w:rFonts w:eastAsia="Century Gothic" w:cs="Times New Roman" w:ascii="Calibri" w:hAnsi="Calibri"/>
                <w:color w:val="000000"/>
                <w:sz w:val="20"/>
                <w:szCs w:val="20"/>
                <w:lang w:val="pl-PL" w:eastAsia="pl-PL" w:bidi="ar-SA"/>
              </w:rPr>
              <w:t xml:space="preserve">Węgiel kamienny </w:t>
            </w:r>
          </w:p>
        </w:tc>
        <w:tc>
          <w:tcPr>
            <w:tcW w:w="165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50" w:type="dxa"/>
            </w:tcMar>
          </w:tcPr>
          <w:p>
            <w:pPr>
              <w:pStyle w:val="Bodytext2"/>
              <w:shd w:val="clear" w:color="auto" w:fill="auto"/>
              <w:spacing w:lineRule="exact" w:line="307" w:before="0" w:after="239"/>
              <w:ind w:right="300" w:hanging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highlight w:val="white"/>
              </w:rPr>
              <w:t>Wysoka kaloryczność. M</w:t>
            </w: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highlight w:val="white"/>
                <w:lang w:val="pl-PL" w:eastAsia="pl-PL" w:bidi="ar-SA"/>
              </w:rPr>
              <w:t xml:space="preserve">ała </w:t>
            </w:r>
            <w:r>
              <w:rPr>
                <w:rFonts w:ascii="Calibri" w:hAnsi="Calibri"/>
                <w:color w:val="000000"/>
                <w:sz w:val="20"/>
                <w:szCs w:val="20"/>
                <w:highlight w:val="white"/>
              </w:rPr>
              <w:t>zawartość popiołu.</w:t>
            </w:r>
          </w:p>
        </w:tc>
        <w:tc>
          <w:tcPr>
            <w:tcW w:w="146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Bodytext2"/>
              <w:shd w:val="clear" w:color="auto" w:fill="auto"/>
              <w:spacing w:lineRule="exact" w:line="220" w:before="0" w:after="0"/>
              <w:ind w:left="120" w:hanging="0"/>
              <w:jc w:val="center"/>
              <w:rPr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300 </w:t>
            </w:r>
          </w:p>
        </w:tc>
        <w:tc>
          <w:tcPr>
            <w:tcW w:w="210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Bodytext2"/>
              <w:shd w:val="clear" w:color="auto" w:fill="auto"/>
              <w:spacing w:lineRule="exact" w:line="307" w:before="0" w:after="239"/>
              <w:ind w:right="300" w:hang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  <w:p>
            <w:pPr>
              <w:pStyle w:val="Bodytext2"/>
              <w:shd w:val="clear" w:color="auto" w:fill="auto"/>
              <w:spacing w:lineRule="exact" w:line="307" w:before="0" w:after="239"/>
              <w:ind w:right="300" w:hanging="0"/>
              <w:jc w:val="center"/>
              <w:rPr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0,50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zł </w:t>
            </w:r>
          </w:p>
          <w:p>
            <w:pPr>
              <w:pStyle w:val="Bodytext2"/>
              <w:shd w:val="clear" w:color="auto" w:fill="auto"/>
              <w:spacing w:lineRule="exact" w:line="307" w:before="0" w:after="239"/>
              <w:ind w:right="30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9" w:type="dxa"/>
            <w:tcBorders>
              <w:top w:val="nil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Bodytext2"/>
              <w:shd w:val="clear" w:color="auto" w:fill="auto"/>
              <w:spacing w:lineRule="exact" w:line="307" w:before="0" w:after="239"/>
              <w:ind w:right="300" w:hanging="0"/>
              <w:jc w:val="center"/>
              <w:rPr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0,61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zł</w:t>
            </w:r>
          </w:p>
        </w:tc>
      </w:tr>
    </w:tbl>
    <w:p>
      <w:pPr>
        <w:pStyle w:val="Bodytext2"/>
        <w:shd w:val="clear" w:color="auto" w:fill="auto"/>
        <w:spacing w:lineRule="exact" w:line="312" w:before="0" w:after="178"/>
        <w:ind w:left="1040" w:right="82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2"/>
        <w:shd w:val="clear" w:color="auto" w:fill="auto"/>
        <w:spacing w:lineRule="exact" w:line="312" w:before="0" w:after="0"/>
        <w:ind w:right="240" w:hanging="0"/>
        <w:jc w:val="both"/>
        <w:rPr>
          <w:color w:val="C9211E"/>
        </w:rPr>
      </w:pPr>
      <w:r>
        <w:rPr>
          <w:rFonts w:ascii="Calibri" w:hAnsi="Calibri"/>
          <w:color w:val="000000"/>
          <w:sz w:val="20"/>
          <w:szCs w:val="20"/>
        </w:rPr>
        <w:tab/>
        <w:t xml:space="preserve">Osoby zainteresowane kupnem </w:t>
      </w:r>
      <w:r>
        <w:rPr>
          <w:rFonts w:eastAsia="Times New Roman" w:cs="Times New Roman" w:ascii="Calibri" w:hAnsi="Calibri"/>
          <w:color w:val="000000"/>
          <w:sz w:val="20"/>
          <w:szCs w:val="20"/>
          <w:lang w:val="pl-PL" w:eastAsia="pl-PL" w:bidi="ar-SA"/>
        </w:rPr>
        <w:t>węgla kamiennego</w:t>
      </w:r>
      <w:r>
        <w:rPr>
          <w:rFonts w:ascii="Calibri" w:hAnsi="Calibri"/>
          <w:color w:val="000000"/>
          <w:sz w:val="20"/>
          <w:szCs w:val="20"/>
        </w:rPr>
        <w:t xml:space="preserve"> po uprzednim zawiadomieniu pracownika Działu </w:t>
      </w:r>
      <w:r>
        <w:rPr>
          <w:rFonts w:eastAsia="Times New Roman" w:cs="Times New Roman" w:ascii="Calibri" w:hAnsi="Calibri"/>
          <w:color w:val="000000"/>
          <w:sz w:val="20"/>
          <w:szCs w:val="20"/>
          <w:lang w:val="pl-PL" w:eastAsia="pl-PL" w:bidi="ar-SA"/>
        </w:rPr>
        <w:t xml:space="preserve">Administracyjno – Gospodarczego </w:t>
      </w:r>
      <w:r>
        <w:rPr>
          <w:rFonts w:ascii="Calibri" w:hAnsi="Calibri"/>
          <w:color w:val="000000"/>
          <w:sz w:val="20"/>
          <w:szCs w:val="20"/>
        </w:rPr>
        <w:t xml:space="preserve">(kontakt telefoniczny: 32 </w:t>
      </w:r>
      <w:r>
        <w:rPr>
          <w:rFonts w:eastAsia="Times New Roman" w:cs="Times New Roman" w:ascii="Calibri" w:hAnsi="Calibri"/>
          <w:color w:val="000000"/>
          <w:sz w:val="20"/>
          <w:szCs w:val="20"/>
          <w:lang w:val="pl-PL" w:eastAsia="pl-PL" w:bidi="ar-SA"/>
        </w:rPr>
        <w:t xml:space="preserve">6740340 </w:t>
      </w:r>
      <w:r>
        <w:rPr>
          <w:rFonts w:ascii="Calibri" w:hAnsi="Calibri"/>
          <w:color w:val="000000"/>
          <w:sz w:val="20"/>
          <w:szCs w:val="20"/>
        </w:rPr>
        <w:t xml:space="preserve">) mogą zapoznać się ze stanem technicznym </w:t>
      </w:r>
      <w:r>
        <w:rPr>
          <w:rFonts w:eastAsia="Times New Roman" w:cs="Times New Roman" w:ascii="Calibri" w:hAnsi="Calibri"/>
          <w:color w:val="000000"/>
          <w:sz w:val="20"/>
          <w:szCs w:val="20"/>
          <w:lang w:val="pl-PL" w:eastAsia="pl-PL" w:bidi="ar-SA"/>
        </w:rPr>
        <w:t>węgla.</w:t>
      </w:r>
    </w:p>
    <w:p>
      <w:pPr>
        <w:pStyle w:val="Bodytext2"/>
        <w:shd w:val="clear" w:color="auto" w:fill="auto"/>
        <w:spacing w:lineRule="exact" w:line="312" w:before="0" w:after="0"/>
        <w:ind w:right="240" w:hanging="0"/>
        <w:jc w:val="both"/>
        <w:rPr/>
      </w:pPr>
      <w:r>
        <w:rPr>
          <w:rFonts w:ascii="Calibri" w:hAnsi="Calibri"/>
          <w:color w:val="000000"/>
          <w:sz w:val="20"/>
          <w:szCs w:val="20"/>
        </w:rPr>
        <w:tab/>
        <w:t xml:space="preserve">Kupujący ponosi wszelkie koszty związane z załadunkiem i transportem kupionego węgla. </w:t>
      </w:r>
      <w:r>
        <w:rPr>
          <w:rFonts w:eastAsia="Times New Roman" w:cs="Times New Roman" w:ascii="Calibri" w:hAnsi="Calibri"/>
          <w:color w:val="000000"/>
          <w:sz w:val="20"/>
          <w:szCs w:val="20"/>
          <w:lang w:val="pl-PL" w:eastAsia="pl-PL" w:bidi="ar-SA"/>
        </w:rPr>
        <w:t>O</w:t>
      </w:r>
      <w:r>
        <w:rPr>
          <w:rFonts w:ascii="Calibri" w:hAnsi="Calibri"/>
          <w:color w:val="000000"/>
          <w:sz w:val="20"/>
          <w:szCs w:val="20"/>
        </w:rPr>
        <w:t xml:space="preserve">dbiór przedmiotu przetargu nastąpi po wyborze najkorzystniejszej oferty, zawarciu umowy i wpłaceniu oferowanej ceny za </w:t>
      </w:r>
      <w:r>
        <w:rPr>
          <w:rFonts w:eastAsia="Times New Roman" w:cs="Times New Roman" w:ascii="Calibri" w:hAnsi="Calibri"/>
          <w:color w:val="000000"/>
          <w:sz w:val="20"/>
          <w:szCs w:val="20"/>
          <w:lang w:val="pl-PL" w:eastAsia="pl-PL" w:bidi="ar-SA"/>
        </w:rPr>
        <w:t>przedmiot przetargu</w:t>
      </w:r>
      <w:r>
        <w:rPr>
          <w:rFonts w:ascii="Calibri" w:hAnsi="Calibri"/>
          <w:color w:val="000000"/>
          <w:sz w:val="20"/>
          <w:szCs w:val="20"/>
        </w:rPr>
        <w:t xml:space="preserve">. Kupujący zobowiązany jest dokonać </w:t>
      </w:r>
      <w:r>
        <w:rPr>
          <w:rFonts w:eastAsia="Times New Roman" w:cs="Times New Roman" w:ascii="Calibri" w:hAnsi="Calibri"/>
          <w:color w:val="000000"/>
          <w:sz w:val="20"/>
          <w:szCs w:val="20"/>
          <w:lang w:val="pl-PL" w:eastAsia="pl-PL" w:bidi="ar-SA"/>
        </w:rPr>
        <w:t>załadunku</w:t>
      </w:r>
      <w:r>
        <w:rPr>
          <w:rFonts w:ascii="Calibri" w:hAnsi="Calibri"/>
          <w:color w:val="000000"/>
          <w:sz w:val="20"/>
          <w:szCs w:val="20"/>
        </w:rPr>
        <w:t xml:space="preserve"> i odbioru węgla. </w:t>
      </w:r>
    </w:p>
    <w:p>
      <w:pPr>
        <w:pStyle w:val="Bodytext2"/>
        <w:shd w:val="clear" w:color="auto" w:fill="auto"/>
        <w:spacing w:lineRule="exact" w:line="312" w:before="0" w:after="0"/>
        <w:ind w:right="240" w:hanging="0"/>
        <w:jc w:val="both"/>
        <w:rPr/>
      </w:pPr>
      <w:r>
        <w:rPr>
          <w:rFonts w:ascii="Calibri" w:hAnsi="Calibri"/>
          <w:color w:val="000000"/>
          <w:sz w:val="20"/>
          <w:szCs w:val="20"/>
        </w:rPr>
        <w:t xml:space="preserve">       </w:t>
      </w:r>
      <w:r>
        <w:rPr>
          <w:rFonts w:ascii="Calibri" w:hAnsi="Calibri"/>
          <w:color w:val="000000"/>
          <w:sz w:val="20"/>
          <w:szCs w:val="20"/>
        </w:rPr>
        <w:t xml:space="preserve">Sposób </w:t>
      </w:r>
      <w:r>
        <w:rPr>
          <w:rFonts w:eastAsia="Times New Roman" w:cs="Times New Roman" w:ascii="Calibri" w:hAnsi="Calibri"/>
          <w:color w:val="000000"/>
          <w:sz w:val="20"/>
          <w:szCs w:val="20"/>
          <w:lang w:val="pl-PL" w:eastAsia="pl-PL" w:bidi="ar-SA"/>
        </w:rPr>
        <w:t>załadunku</w:t>
      </w:r>
      <w:r>
        <w:rPr>
          <w:rFonts w:ascii="Calibri" w:hAnsi="Calibri"/>
          <w:color w:val="000000"/>
          <w:sz w:val="20"/>
          <w:szCs w:val="20"/>
        </w:rPr>
        <w:t xml:space="preserve"> i odbioru </w:t>
      </w:r>
      <w:r>
        <w:rPr>
          <w:rFonts w:eastAsia="Times New Roman" w:cs="Times New Roman" w:ascii="Calibri" w:hAnsi="Calibri"/>
          <w:color w:val="000000"/>
          <w:sz w:val="20"/>
          <w:szCs w:val="20"/>
          <w:lang w:val="pl-PL" w:eastAsia="pl-PL" w:bidi="ar-SA"/>
        </w:rPr>
        <w:t>węgla</w:t>
      </w:r>
      <w:r>
        <w:rPr>
          <w:rFonts w:ascii="Calibri" w:hAnsi="Calibri"/>
          <w:color w:val="000000"/>
          <w:sz w:val="20"/>
          <w:szCs w:val="20"/>
        </w:rPr>
        <w:t xml:space="preserve"> musi być uzgodniony z przedstawicielem Działu </w:t>
      </w:r>
      <w:r>
        <w:rPr>
          <w:rFonts w:eastAsia="Times New Roman" w:cs="Times New Roman" w:ascii="Calibri" w:hAnsi="Calibri"/>
          <w:color w:val="000000"/>
          <w:sz w:val="20"/>
          <w:szCs w:val="20"/>
          <w:lang w:val="pl-PL" w:eastAsia="pl-PL" w:bidi="ar-SA"/>
        </w:rPr>
        <w:t xml:space="preserve">Administracyjno-Gospodarczego.  Zwycięzca przetargu zobowiązany jest załadować i odebrać węgiel jednorazowo, po uprzednim uzgodnieniu terminu i godziny z  przedstawicielem Działu Administracyjno-Gospodarczego. </w:t>
      </w:r>
    </w:p>
    <w:sectPr>
      <w:type w:val="nextPage"/>
      <w:pgSz w:w="11906" w:h="16838"/>
      <w:pgMar w:left="1134" w:right="1134" w:header="0" w:top="1304" w:footer="0" w:bottom="130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Century Gothic">
    <w:charset w:val="ee"/>
    <w:family w:val="roman"/>
    <w:pitch w:val="variable"/>
  </w:font>
  <w:font w:name="Consola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Cs w:val="24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c1657"/>
    <w:pPr>
      <w:widowControl/>
      <w:bidi w:val="0"/>
      <w:spacing w:before="0" w:after="0"/>
      <w:jc w:val="left"/>
    </w:pPr>
    <w:rPr>
      <w:rFonts w:ascii="Courier New" w:hAnsi="Courier New" w:eastAsia="Courier New" w:cs="Courier New"/>
      <w:color w:val="00000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rsid w:val="00fc1657"/>
    <w:rPr>
      <w:color w:val="000080"/>
      <w:u w:val="single"/>
    </w:rPr>
  </w:style>
  <w:style w:type="character" w:styleId="Bodytext" w:customStyle="1">
    <w:name w:val="Body text_"/>
    <w:basedOn w:val="DefaultParagraphFont"/>
    <w:link w:val="Bodytext0"/>
    <w:qFormat/>
    <w:rsid w:val="00fc1657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3"/>
      <w:szCs w:val="23"/>
      <w:u w:val="none"/>
    </w:rPr>
  </w:style>
  <w:style w:type="character" w:styleId="Bodytext1" w:customStyle="1">
    <w:name w:val="Body text"/>
    <w:basedOn w:val="Bodytext"/>
    <w:qFormat/>
    <w:rsid w:val="00fc1657"/>
    <w:rPr>
      <w:color w:val="000000"/>
      <w:spacing w:val="0"/>
      <w:w w:val="100"/>
      <w:u w:val="single"/>
      <w:lang w:val="pl-PL"/>
    </w:rPr>
  </w:style>
  <w:style w:type="character" w:styleId="BodytextCenturyGothic18pt" w:customStyle="1">
    <w:name w:val="Body text + Century Gothic;18 pt"/>
    <w:basedOn w:val="Bodytext"/>
    <w:qFormat/>
    <w:rsid w:val="00fc1657"/>
    <w:rPr>
      <w:rFonts w:ascii="Century Gothic" w:hAnsi="Century Gothic" w:eastAsia="Century Gothic" w:cs="Century Gothic"/>
      <w:color w:val="000000"/>
      <w:spacing w:val="0"/>
      <w:w w:val="100"/>
      <w:sz w:val="36"/>
      <w:szCs w:val="36"/>
    </w:rPr>
  </w:style>
  <w:style w:type="character" w:styleId="BodytextCenturyGothic12ptScale66" w:customStyle="1">
    <w:name w:val="Body text + Century Gothic;12 pt;Scale 66%"/>
    <w:basedOn w:val="Bodytext"/>
    <w:qFormat/>
    <w:rsid w:val="00fc1657"/>
    <w:rPr>
      <w:rFonts w:ascii="Century Gothic" w:hAnsi="Century Gothic" w:eastAsia="Century Gothic" w:cs="Century Gothic"/>
      <w:color w:val="000000"/>
      <w:spacing w:val="0"/>
      <w:w w:val="66"/>
      <w:sz w:val="24"/>
      <w:szCs w:val="24"/>
      <w:lang w:val="pl-PL"/>
    </w:rPr>
  </w:style>
  <w:style w:type="character" w:styleId="BodytextConsolas155ptItalic" w:customStyle="1">
    <w:name w:val="Body text + Consolas;15;5 pt;Italic"/>
    <w:basedOn w:val="Bodytext"/>
    <w:qFormat/>
    <w:rsid w:val="00fc1657"/>
    <w:rPr>
      <w:rFonts w:ascii="Consolas" w:hAnsi="Consolas" w:eastAsia="Consolas" w:cs="Consolas"/>
      <w:i/>
      <w:iCs/>
      <w:color w:val="000000"/>
      <w:spacing w:val="0"/>
      <w:w w:val="100"/>
      <w:sz w:val="31"/>
      <w:szCs w:val="31"/>
      <w:lang w:val="pl-PL"/>
    </w:rPr>
  </w:style>
  <w:style w:type="character" w:styleId="BodytextConsolas8ptItalicSpacing2pt" w:customStyle="1">
    <w:name w:val="Body text + Consolas;8 pt;Italic;Spacing 2 pt"/>
    <w:basedOn w:val="Bodytext"/>
    <w:qFormat/>
    <w:rsid w:val="00fc1657"/>
    <w:rPr>
      <w:rFonts w:ascii="Consolas" w:hAnsi="Consolas" w:eastAsia="Consolas" w:cs="Consolas"/>
      <w:i/>
      <w:iCs/>
      <w:color w:val="000000"/>
      <w:spacing w:val="40"/>
      <w:w w:val="100"/>
      <w:sz w:val="16"/>
      <w:szCs w:val="16"/>
      <w:lang w:val="pl-PL"/>
    </w:rPr>
  </w:style>
  <w:style w:type="character" w:styleId="Bodytext16ptItalicSpacing0pt" w:customStyle="1">
    <w:name w:val="Body text + 16 pt;Italic;Spacing 0 pt"/>
    <w:basedOn w:val="Bodytext"/>
    <w:qFormat/>
    <w:rsid w:val="00fc1657"/>
    <w:rPr>
      <w:i/>
      <w:iCs/>
      <w:color w:val="000000"/>
      <w:spacing w:val="-10"/>
      <w:w w:val="100"/>
      <w:sz w:val="32"/>
      <w:szCs w:val="32"/>
      <w:lang w:val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2" w:customStyle="1">
    <w:name w:val="Body text"/>
    <w:basedOn w:val="Normal"/>
    <w:link w:val="Bodytext"/>
    <w:qFormat/>
    <w:rsid w:val="00fc1657"/>
    <w:pPr>
      <w:shd w:val="clear" w:color="auto" w:fill="FFFFFF"/>
      <w:spacing w:lineRule="auto" w:line="240" w:before="0" w:after="240"/>
    </w:pPr>
    <w:rPr>
      <w:rFonts w:ascii="Times New Roman" w:hAnsi="Times New Roman" w:eastAsia="Times New Roman" w:cs="Times New Roman"/>
      <w:sz w:val="23"/>
      <w:szCs w:val="23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b7bb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Application>LibreOffice/5.1.4.2$Windows_x86 LibreOffice_project/f99d75f39f1c57ebdd7ffc5f42867c12031db97a</Application>
  <Pages>1</Pages>
  <Words>159</Words>
  <Characters>1074</Characters>
  <CharactersWithSpaces>1242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2016-11-03T10:25:00Z</dcterms:created>
  <dc:creator>Ewa</dc:creator>
  <dc:description/>
  <dc:language>pl-PL</dc:language>
  <cp:lastModifiedBy/>
  <cp:lastPrinted>2020-12-23T14:09:16Z</cp:lastPrinted>
  <dcterms:modified xsi:type="dcterms:W3CDTF">2020-12-23T14:09:33Z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