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75" w:rsidRDefault="00473675" w:rsidP="00473675">
      <w:pPr>
        <w:pStyle w:val="Akapitzlist"/>
        <w:spacing w:after="0" w:line="360" w:lineRule="auto"/>
        <w:ind w:left="0"/>
        <w:rPr>
          <w:rFonts w:ascii="Arial" w:hAnsi="Arial" w:cs="Arial"/>
          <w:sz w:val="18"/>
          <w:szCs w:val="20"/>
        </w:rPr>
      </w:pPr>
    </w:p>
    <w:p w:rsidR="00473675" w:rsidRDefault="00473675" w:rsidP="00473675">
      <w:pPr>
        <w:pStyle w:val="Akapitzlist"/>
        <w:spacing w:after="0" w:line="360" w:lineRule="auto"/>
        <w:ind w:left="0"/>
        <w:rPr>
          <w:rFonts w:ascii="Arial" w:hAnsi="Arial" w:cs="Arial"/>
          <w:sz w:val="18"/>
          <w:szCs w:val="20"/>
        </w:rPr>
      </w:pPr>
    </w:p>
    <w:p w:rsidR="00473675" w:rsidRDefault="00473675" w:rsidP="00473675">
      <w:pPr>
        <w:pStyle w:val="Akapitzlist"/>
        <w:spacing w:after="0" w:line="360" w:lineRule="auto"/>
        <w:ind w:left="0"/>
        <w:rPr>
          <w:rFonts w:ascii="Arial" w:hAnsi="Arial" w:cs="Arial"/>
          <w:sz w:val="18"/>
          <w:szCs w:val="20"/>
        </w:rPr>
      </w:pPr>
    </w:p>
    <w:p w:rsidR="00473675" w:rsidRDefault="00473675" w:rsidP="00473675">
      <w:pPr>
        <w:pStyle w:val="Akapitzlist"/>
        <w:spacing w:after="0" w:line="360" w:lineRule="auto"/>
        <w:ind w:left="0"/>
        <w:rPr>
          <w:rFonts w:ascii="Arial" w:hAnsi="Arial" w:cs="Arial"/>
          <w:sz w:val="18"/>
          <w:szCs w:val="20"/>
        </w:rPr>
      </w:pPr>
    </w:p>
    <w:p w:rsidR="00473675" w:rsidRDefault="00473675" w:rsidP="00473675">
      <w:pPr>
        <w:pStyle w:val="Akapitzlist"/>
        <w:spacing w:after="0" w:line="360" w:lineRule="auto"/>
        <w:ind w:left="0"/>
        <w:rPr>
          <w:rFonts w:ascii="Arial" w:hAnsi="Arial" w:cs="Arial"/>
          <w:sz w:val="18"/>
          <w:szCs w:val="20"/>
        </w:rPr>
      </w:pPr>
    </w:p>
    <w:p w:rsidR="00473675" w:rsidRDefault="00473675" w:rsidP="00473675">
      <w:pPr>
        <w:pStyle w:val="Akapitzlist"/>
        <w:spacing w:after="0" w:line="360" w:lineRule="auto"/>
        <w:ind w:left="0"/>
        <w:rPr>
          <w:rFonts w:ascii="Arial" w:hAnsi="Arial" w:cs="Arial"/>
          <w:color w:val="auto"/>
          <w:sz w:val="18"/>
          <w:szCs w:val="20"/>
        </w:rPr>
      </w:pPr>
      <w:r>
        <w:rPr>
          <w:rFonts w:ascii="Arial" w:hAnsi="Arial" w:cs="Arial"/>
          <w:sz w:val="18"/>
          <w:szCs w:val="20"/>
        </w:rPr>
        <w:t>DZP/PN/25/2020</w:t>
      </w:r>
    </w:p>
    <w:p w:rsidR="00473675" w:rsidRDefault="00473675" w:rsidP="00473675">
      <w:pPr>
        <w:pStyle w:val="Akapitzlist"/>
        <w:spacing w:after="0" w:line="360" w:lineRule="auto"/>
        <w:ind w:left="0"/>
        <w:rPr>
          <w:rFonts w:ascii="Arial" w:hAnsi="Arial" w:cs="Arial"/>
          <w:sz w:val="18"/>
          <w:szCs w:val="20"/>
        </w:rPr>
      </w:pPr>
      <w:r>
        <w:rPr>
          <w:rFonts w:ascii="Arial" w:hAnsi="Arial" w:cs="Arial"/>
          <w:sz w:val="18"/>
          <w:szCs w:val="20"/>
        </w:rPr>
        <w:t>Dostawa materiałów eksploatacyjnych do urządzeń drukujących – 2 pakiety</w:t>
      </w:r>
    </w:p>
    <w:p w:rsidR="00473675" w:rsidRDefault="00473675" w:rsidP="00473675">
      <w:pPr>
        <w:pStyle w:val="Akapitzlist"/>
        <w:spacing w:after="0" w:line="360" w:lineRule="auto"/>
        <w:ind w:left="0"/>
        <w:rPr>
          <w:rFonts w:ascii="Arial" w:hAnsi="Arial" w:cs="Arial"/>
          <w:sz w:val="20"/>
          <w:szCs w:val="20"/>
        </w:rPr>
      </w:pPr>
    </w:p>
    <w:p w:rsidR="00473675" w:rsidRDefault="00473675" w:rsidP="00473675">
      <w:pPr>
        <w:pStyle w:val="Akapitzlist"/>
        <w:spacing w:after="0" w:line="360" w:lineRule="auto"/>
        <w:jc w:val="right"/>
        <w:rPr>
          <w:rFonts w:ascii="Arial" w:hAnsi="Arial" w:cs="Arial"/>
          <w:b/>
          <w:sz w:val="18"/>
          <w:szCs w:val="20"/>
        </w:rPr>
      </w:pPr>
      <w:r>
        <w:rPr>
          <w:rFonts w:ascii="Arial" w:hAnsi="Arial" w:cs="Arial"/>
          <w:b/>
          <w:sz w:val="18"/>
          <w:szCs w:val="20"/>
        </w:rPr>
        <w:t>Załącznik nr 6 do SIWZ</w:t>
      </w:r>
    </w:p>
    <w:p w:rsidR="00473675" w:rsidRDefault="00473675" w:rsidP="00473675">
      <w:pPr>
        <w:pStyle w:val="Akapitzlist"/>
        <w:spacing w:after="0" w:line="360" w:lineRule="auto"/>
        <w:jc w:val="center"/>
        <w:rPr>
          <w:rFonts w:ascii="Arial" w:hAnsi="Arial" w:cs="Arial"/>
          <w:b/>
          <w:sz w:val="20"/>
          <w:szCs w:val="20"/>
        </w:rPr>
      </w:pPr>
    </w:p>
    <w:p w:rsidR="00473675" w:rsidRDefault="00473675" w:rsidP="00473675">
      <w:pPr>
        <w:pStyle w:val="Akapitzlist"/>
        <w:spacing w:after="0" w:line="360" w:lineRule="auto"/>
        <w:jc w:val="center"/>
        <w:rPr>
          <w:rFonts w:ascii="Arial" w:hAnsi="Arial" w:cs="Arial"/>
          <w:b/>
          <w:sz w:val="20"/>
          <w:szCs w:val="20"/>
        </w:rPr>
      </w:pPr>
    </w:p>
    <w:p w:rsidR="00473675" w:rsidRDefault="00473675" w:rsidP="00473675">
      <w:pPr>
        <w:pStyle w:val="Akapitzlist"/>
        <w:spacing w:after="0" w:line="360" w:lineRule="auto"/>
        <w:jc w:val="center"/>
        <w:rPr>
          <w:rFonts w:ascii="Arial" w:hAnsi="Arial" w:cs="Arial"/>
        </w:rPr>
      </w:pPr>
      <w:r>
        <w:rPr>
          <w:rFonts w:ascii="Arial" w:hAnsi="Arial" w:cs="Arial"/>
          <w:b/>
          <w:sz w:val="20"/>
          <w:szCs w:val="20"/>
        </w:rPr>
        <w:t>Szczegółowy opis przedmiotu zamówienia</w:t>
      </w:r>
    </w:p>
    <w:p w:rsidR="00473675" w:rsidRDefault="00473675" w:rsidP="00473675">
      <w:pPr>
        <w:pStyle w:val="Akapitzlist"/>
        <w:spacing w:after="0" w:line="360" w:lineRule="auto"/>
        <w:jc w:val="center"/>
        <w:rPr>
          <w:rFonts w:ascii="Arial" w:hAnsi="Arial" w:cs="Arial"/>
          <w:b/>
          <w:sz w:val="20"/>
          <w:szCs w:val="20"/>
        </w:rPr>
      </w:pP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Przedmiotem Zamówienia jest dostawa materiałów eksploatacyjnych (tuszy, tonerów, bębnów, itp.) dla Szpitala Powiatowego w Zawierciu określonych w formularzu asortymentowo-cenowym, stanowiącym Załącznik nr 2, w podziale na dwie części:</w:t>
      </w:r>
    </w:p>
    <w:p w:rsidR="00473675" w:rsidRDefault="00473675" w:rsidP="00473675">
      <w:pPr>
        <w:pStyle w:val="Akapitzlist"/>
        <w:numPr>
          <w:ilvl w:val="0"/>
          <w:numId w:val="6"/>
        </w:numPr>
        <w:spacing w:after="0" w:line="360" w:lineRule="auto"/>
        <w:jc w:val="both"/>
        <w:rPr>
          <w:rFonts w:ascii="Arial" w:hAnsi="Arial" w:cs="Arial"/>
          <w:sz w:val="20"/>
          <w:szCs w:val="20"/>
        </w:rPr>
      </w:pPr>
      <w:r>
        <w:rPr>
          <w:rFonts w:ascii="Arial" w:hAnsi="Arial"/>
          <w:sz w:val="20"/>
          <w:szCs w:val="20"/>
          <w:lang w:eastAsia="pl-PL"/>
        </w:rPr>
        <w:t>Pakiet nr 1 –</w:t>
      </w:r>
      <w:r>
        <w:rPr>
          <w:rFonts w:ascii="Arial" w:hAnsi="Arial" w:cs="Arial"/>
          <w:sz w:val="20"/>
          <w:szCs w:val="20"/>
        </w:rPr>
        <w:t xml:space="preserve"> Tusze, tonery, bębny; </w:t>
      </w:r>
    </w:p>
    <w:p w:rsidR="00473675" w:rsidRPr="00AF382D" w:rsidRDefault="00AF382D" w:rsidP="00AF382D">
      <w:pPr>
        <w:pStyle w:val="Akapitzlist"/>
        <w:numPr>
          <w:ilvl w:val="0"/>
          <w:numId w:val="6"/>
        </w:numPr>
        <w:spacing w:after="0" w:line="360" w:lineRule="auto"/>
        <w:jc w:val="both"/>
        <w:rPr>
          <w:rFonts w:ascii="Arial" w:hAnsi="Arial" w:cs="Arial"/>
          <w:sz w:val="20"/>
          <w:szCs w:val="20"/>
        </w:rPr>
      </w:pPr>
      <w:r>
        <w:rPr>
          <w:rFonts w:ascii="Arial" w:hAnsi="Arial" w:cs="Arial"/>
          <w:sz w:val="20"/>
          <w:szCs w:val="20"/>
        </w:rPr>
        <w:t xml:space="preserve">Pakiet nr 2 – </w:t>
      </w:r>
      <w:bookmarkStart w:id="0" w:name="_GoBack"/>
      <w:bookmarkEnd w:id="0"/>
      <w:r w:rsidR="00473675" w:rsidRPr="00AF382D">
        <w:rPr>
          <w:rFonts w:ascii="Arial" w:hAnsi="Arial" w:cs="Arial"/>
          <w:sz w:val="20"/>
          <w:szCs w:val="20"/>
        </w:rPr>
        <w:t>Materiały do drukarek Zebra.</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Zamawiający dopuszcza zaoferowanie materiałów równoważnych kompatybilnych (wszystkie części tonera muszą być 100% nowe wraz z obudową), które nie spowodują utraty praw gwarancji producenta urządzenia, do którego są przeznaczone. Zamawiający wymaga, aby każde urządzenie było chronione gwarancją naprawy w przypadku uszkodzenia spowodowanego zastosowaniem zaoferowanego produktu.</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Oferowane materiały eksploatacyjne mają być nowe, sprawne technicznie, bezpieczne, kompletne i gotowe do pracy.</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Przez materiał eksploatacyjny równoważny Zamawiający rozumie produkt o parametrach nie gorszych niż wskazane oraz:</w:t>
      </w:r>
    </w:p>
    <w:p w:rsidR="00473675" w:rsidRDefault="00473675" w:rsidP="00473675">
      <w:pPr>
        <w:pStyle w:val="Akapitzlist"/>
        <w:numPr>
          <w:ilvl w:val="0"/>
          <w:numId w:val="7"/>
        </w:numPr>
        <w:spacing w:after="0" w:line="360" w:lineRule="auto"/>
        <w:jc w:val="both"/>
        <w:rPr>
          <w:rFonts w:ascii="Arial" w:hAnsi="Arial" w:cs="Arial"/>
        </w:rPr>
      </w:pPr>
      <w:r>
        <w:rPr>
          <w:rFonts w:ascii="Arial" w:hAnsi="Arial" w:cs="Arial"/>
          <w:sz w:val="20"/>
          <w:szCs w:val="20"/>
        </w:rPr>
        <w:t xml:space="preserve">Fabrycznie nowy, nie regenerowany, pochodzący z bieżącej produkcji, wytworzony seryjnie w cyklu produkcyjnym zgodnym z normą ISO 9001 oraz ISO 14001 lub normami równoważnymi, </w:t>
      </w:r>
    </w:p>
    <w:p w:rsidR="00473675" w:rsidRDefault="00473675" w:rsidP="00473675">
      <w:pPr>
        <w:pStyle w:val="Akapitzlist"/>
        <w:numPr>
          <w:ilvl w:val="0"/>
          <w:numId w:val="7"/>
        </w:numPr>
        <w:spacing w:after="0" w:line="360" w:lineRule="auto"/>
        <w:jc w:val="both"/>
        <w:rPr>
          <w:rFonts w:ascii="Arial" w:hAnsi="Arial" w:cs="Arial"/>
        </w:rPr>
      </w:pPr>
      <w:r>
        <w:rPr>
          <w:rFonts w:ascii="Arial" w:eastAsia="Verdana" w:hAnsi="Arial" w:cs="Arial"/>
          <w:sz w:val="20"/>
          <w:szCs w:val="20"/>
        </w:rPr>
        <w:t xml:space="preserve"> </w:t>
      </w:r>
      <w:r>
        <w:rPr>
          <w:rFonts w:ascii="Arial" w:hAnsi="Arial" w:cs="Arial"/>
          <w:sz w:val="20"/>
          <w:szCs w:val="20"/>
        </w:rPr>
        <w:t>Opakowany hermetycznie, nie noszący śladów uszkodzeń zewnętrznych oraz używania,</w:t>
      </w:r>
    </w:p>
    <w:p w:rsidR="00473675" w:rsidRDefault="00473675" w:rsidP="00473675">
      <w:pPr>
        <w:pStyle w:val="Akapitzlist"/>
        <w:numPr>
          <w:ilvl w:val="0"/>
          <w:numId w:val="7"/>
        </w:numPr>
        <w:spacing w:after="0" w:line="360" w:lineRule="auto"/>
        <w:jc w:val="both"/>
        <w:rPr>
          <w:rFonts w:ascii="Arial" w:hAnsi="Arial" w:cs="Arial"/>
        </w:rPr>
      </w:pPr>
      <w:r>
        <w:rPr>
          <w:rFonts w:ascii="Arial" w:hAnsi="Arial" w:cs="Arial"/>
          <w:sz w:val="20"/>
          <w:szCs w:val="20"/>
        </w:rPr>
        <w:t>Którego wydajność, zgodnie z normą:</w:t>
      </w:r>
    </w:p>
    <w:p w:rsidR="00473675" w:rsidRDefault="00473675" w:rsidP="00473675">
      <w:pPr>
        <w:pStyle w:val="Akapitzlist"/>
        <w:numPr>
          <w:ilvl w:val="0"/>
          <w:numId w:val="8"/>
        </w:numPr>
        <w:spacing w:after="0" w:line="360" w:lineRule="auto"/>
        <w:jc w:val="both"/>
        <w:rPr>
          <w:rFonts w:ascii="Arial" w:hAnsi="Arial" w:cs="Arial"/>
        </w:rPr>
      </w:pPr>
      <w:r>
        <w:rPr>
          <w:rFonts w:ascii="Arial" w:hAnsi="Arial" w:cs="Arial"/>
          <w:sz w:val="20"/>
          <w:szCs w:val="20"/>
        </w:rPr>
        <w:t>ISO 19752 - międzynarodowa norma dla tonerów monochromatycznych,</w:t>
      </w:r>
    </w:p>
    <w:p w:rsidR="00473675" w:rsidRDefault="00473675" w:rsidP="00473675">
      <w:pPr>
        <w:pStyle w:val="Akapitzlist"/>
        <w:numPr>
          <w:ilvl w:val="0"/>
          <w:numId w:val="8"/>
        </w:numPr>
        <w:spacing w:after="0" w:line="360" w:lineRule="auto"/>
        <w:jc w:val="both"/>
        <w:rPr>
          <w:rFonts w:ascii="Arial" w:hAnsi="Arial" w:cs="Arial"/>
        </w:rPr>
      </w:pPr>
      <w:r>
        <w:rPr>
          <w:rFonts w:ascii="Arial" w:hAnsi="Arial" w:cs="Arial"/>
          <w:sz w:val="20"/>
          <w:szCs w:val="20"/>
        </w:rPr>
        <w:t>ISO 19798 - międzynarodowa norma dla tonerów kolorowych,</w:t>
      </w:r>
    </w:p>
    <w:p w:rsidR="00473675" w:rsidRDefault="00473675" w:rsidP="00473675">
      <w:pPr>
        <w:pStyle w:val="Akapitzlist"/>
        <w:numPr>
          <w:ilvl w:val="0"/>
          <w:numId w:val="8"/>
        </w:numPr>
        <w:spacing w:after="0" w:line="360" w:lineRule="auto"/>
        <w:jc w:val="both"/>
        <w:rPr>
          <w:rFonts w:ascii="Arial" w:hAnsi="Arial" w:cs="Arial"/>
        </w:rPr>
      </w:pPr>
      <w:r>
        <w:rPr>
          <w:rStyle w:val="fontsize121"/>
          <w:rFonts w:ascii="Arial" w:hAnsi="Arial" w:cs="Arial"/>
          <w:sz w:val="20"/>
          <w:szCs w:val="20"/>
        </w:rPr>
        <w:t xml:space="preserve">ISO 24711 - </w:t>
      </w:r>
      <w:r>
        <w:rPr>
          <w:rFonts w:ascii="Arial" w:hAnsi="Arial" w:cs="Arial"/>
          <w:sz w:val="20"/>
          <w:szCs w:val="20"/>
        </w:rPr>
        <w:t xml:space="preserve">międzynarodowa norma określająca wytyczne do testowania wydajności </w:t>
      </w:r>
      <w:r>
        <w:rPr>
          <w:rFonts w:ascii="Arial" w:hAnsi="Arial" w:cs="Arial"/>
          <w:sz w:val="20"/>
          <w:szCs w:val="20"/>
        </w:rPr>
        <w:br/>
        <w:t xml:space="preserve">w drukarkach atramentowych i urządzeniach wielofunkcyjnych </w:t>
      </w:r>
    </w:p>
    <w:p w:rsidR="00473675" w:rsidRDefault="00473675" w:rsidP="00473675">
      <w:pPr>
        <w:pStyle w:val="Akapitzlist"/>
        <w:spacing w:after="0" w:line="360" w:lineRule="auto"/>
        <w:ind w:left="1080"/>
        <w:jc w:val="both"/>
        <w:rPr>
          <w:rFonts w:ascii="Arial" w:hAnsi="Arial" w:cs="Arial"/>
        </w:rPr>
      </w:pPr>
      <w:r>
        <w:rPr>
          <w:rFonts w:ascii="Arial" w:hAnsi="Arial" w:cs="Arial"/>
          <w:sz w:val="20"/>
          <w:szCs w:val="20"/>
        </w:rPr>
        <w:t>lub normami równoważnymi jest co najmniej taka jak materiału oryginalnego zalecanego przez producentów sprzętu.</w:t>
      </w:r>
    </w:p>
    <w:p w:rsidR="00473675" w:rsidRDefault="00473675" w:rsidP="00473675">
      <w:pPr>
        <w:pStyle w:val="Akapitzlist"/>
        <w:numPr>
          <w:ilvl w:val="0"/>
          <w:numId w:val="7"/>
        </w:numPr>
        <w:spacing w:after="0" w:line="360" w:lineRule="auto"/>
        <w:jc w:val="both"/>
        <w:rPr>
          <w:rFonts w:ascii="Arial" w:hAnsi="Arial" w:cs="Arial"/>
        </w:rPr>
      </w:pPr>
      <w:r>
        <w:rPr>
          <w:rFonts w:ascii="Arial" w:hAnsi="Arial" w:cs="Arial"/>
          <w:sz w:val="20"/>
          <w:szCs w:val="20"/>
        </w:rPr>
        <w:t>Który zapewnia jakość wydruku co najmniej taką, jak materiał oryginalny, zalecany przez producenta sprzętu.</w:t>
      </w:r>
    </w:p>
    <w:p w:rsidR="00473675" w:rsidRDefault="00473675" w:rsidP="00473675">
      <w:pPr>
        <w:pStyle w:val="Akapitzlist"/>
        <w:numPr>
          <w:ilvl w:val="0"/>
          <w:numId w:val="7"/>
        </w:numPr>
        <w:spacing w:after="0" w:line="360" w:lineRule="auto"/>
        <w:jc w:val="both"/>
        <w:rPr>
          <w:rFonts w:ascii="Arial" w:hAnsi="Arial" w:cs="Arial"/>
        </w:rPr>
      </w:pPr>
      <w:r>
        <w:rPr>
          <w:rFonts w:ascii="Arial" w:hAnsi="Arial" w:cs="Arial"/>
          <w:sz w:val="20"/>
          <w:szCs w:val="20"/>
        </w:rPr>
        <w:t>Który nie ogranicza pełnej współpracy z programem sprzętu, monitorującym stan zasobników z tuszem lub tonerem,</w:t>
      </w:r>
    </w:p>
    <w:p w:rsidR="00473675" w:rsidRDefault="00473675" w:rsidP="00473675">
      <w:pPr>
        <w:pStyle w:val="Akapitzlist"/>
        <w:numPr>
          <w:ilvl w:val="0"/>
          <w:numId w:val="7"/>
        </w:numPr>
        <w:spacing w:after="0" w:line="360" w:lineRule="auto"/>
        <w:jc w:val="both"/>
        <w:rPr>
          <w:rFonts w:ascii="Arial" w:hAnsi="Arial" w:cs="Arial"/>
        </w:rPr>
      </w:pPr>
      <w:r>
        <w:rPr>
          <w:rFonts w:ascii="Arial" w:hAnsi="Arial" w:cs="Arial"/>
          <w:sz w:val="20"/>
          <w:szCs w:val="20"/>
        </w:rPr>
        <w:t>Który w żadnym stopniu nie narusza praw patentowych ani innej własności intelektualnej,</w:t>
      </w:r>
    </w:p>
    <w:p w:rsidR="00473675" w:rsidRPr="00473675" w:rsidRDefault="00473675" w:rsidP="00473675">
      <w:pPr>
        <w:pStyle w:val="Akapitzlist"/>
        <w:numPr>
          <w:ilvl w:val="0"/>
          <w:numId w:val="7"/>
        </w:numPr>
        <w:spacing w:after="0" w:line="360" w:lineRule="auto"/>
        <w:jc w:val="both"/>
        <w:rPr>
          <w:rFonts w:ascii="Arial" w:hAnsi="Arial" w:cs="Arial"/>
        </w:rPr>
      </w:pPr>
      <w:r>
        <w:rPr>
          <w:rFonts w:ascii="Arial" w:hAnsi="Arial" w:cs="Arial"/>
          <w:sz w:val="20"/>
          <w:szCs w:val="20"/>
        </w:rPr>
        <w:t>W którym zastosowano toner/tusz dopasowany do pracy z danym urządzeniem.</w:t>
      </w:r>
    </w:p>
    <w:p w:rsidR="00473675" w:rsidRDefault="00473675" w:rsidP="00473675">
      <w:pPr>
        <w:spacing w:after="0" w:line="360" w:lineRule="auto"/>
        <w:jc w:val="both"/>
        <w:rPr>
          <w:rFonts w:ascii="Arial" w:hAnsi="Arial" w:cs="Arial"/>
        </w:rPr>
      </w:pPr>
    </w:p>
    <w:p w:rsidR="00473675" w:rsidRDefault="00473675" w:rsidP="00473675">
      <w:pPr>
        <w:spacing w:after="0" w:line="360" w:lineRule="auto"/>
        <w:jc w:val="both"/>
        <w:rPr>
          <w:rFonts w:ascii="Arial" w:hAnsi="Arial" w:cs="Arial"/>
        </w:rPr>
      </w:pPr>
    </w:p>
    <w:p w:rsidR="00473675" w:rsidRDefault="00473675" w:rsidP="00473675">
      <w:pPr>
        <w:spacing w:after="0" w:line="360" w:lineRule="auto"/>
        <w:jc w:val="both"/>
        <w:rPr>
          <w:rFonts w:ascii="Arial" w:hAnsi="Arial" w:cs="Arial"/>
        </w:rPr>
      </w:pPr>
    </w:p>
    <w:p w:rsidR="00473675" w:rsidRDefault="00473675" w:rsidP="00473675">
      <w:pPr>
        <w:spacing w:after="0" w:line="360" w:lineRule="auto"/>
        <w:jc w:val="both"/>
        <w:rPr>
          <w:rFonts w:ascii="Arial" w:hAnsi="Arial" w:cs="Arial"/>
        </w:rPr>
      </w:pPr>
    </w:p>
    <w:p w:rsidR="00473675" w:rsidRPr="00473675" w:rsidRDefault="00473675" w:rsidP="00473675">
      <w:pPr>
        <w:spacing w:after="240" w:line="360" w:lineRule="auto"/>
        <w:jc w:val="both"/>
        <w:rPr>
          <w:rFonts w:ascii="Arial" w:hAnsi="Arial" w:cs="Arial"/>
        </w:rPr>
      </w:pP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Wykonawca, który w ofercie powoła się na zastosowanie produktów równoważnych jest obowiązany wykazać, ze oferowane przez niego produkty spełniają wymagania określone przez Zamawiającego, a także dołączyć opis ze szczegółową specyfikacją, z której w sposób niebudzący wątpliwości winno wynikać, że ofertowany materiał eksploatacyjny posiada takie same lub lepsze parametry techniczne, jakościowe, niż określone przez Zamawiającego oraz:</w:t>
      </w:r>
    </w:p>
    <w:p w:rsidR="00473675" w:rsidRDefault="00473675" w:rsidP="00473675">
      <w:pPr>
        <w:pStyle w:val="Akapitzlist"/>
        <w:numPr>
          <w:ilvl w:val="0"/>
          <w:numId w:val="9"/>
        </w:numPr>
        <w:spacing w:after="0" w:line="360" w:lineRule="auto"/>
        <w:ind w:left="1080"/>
        <w:jc w:val="both"/>
        <w:rPr>
          <w:rFonts w:ascii="Arial" w:hAnsi="Arial" w:cs="Arial"/>
        </w:rPr>
      </w:pPr>
      <w:r>
        <w:rPr>
          <w:rFonts w:ascii="Arial" w:hAnsi="Arial" w:cs="Arial"/>
          <w:sz w:val="20"/>
          <w:szCs w:val="20"/>
        </w:rPr>
        <w:t>Nie narusza praw gwarancyjnych producenta sprzętu,</w:t>
      </w:r>
    </w:p>
    <w:p w:rsidR="00473675" w:rsidRDefault="00473675" w:rsidP="00473675">
      <w:pPr>
        <w:pStyle w:val="Akapitzlist"/>
        <w:numPr>
          <w:ilvl w:val="0"/>
          <w:numId w:val="9"/>
        </w:numPr>
        <w:spacing w:after="0" w:line="360" w:lineRule="auto"/>
        <w:ind w:left="1080"/>
        <w:jc w:val="both"/>
        <w:rPr>
          <w:rFonts w:ascii="Arial" w:hAnsi="Arial" w:cs="Arial"/>
        </w:rPr>
      </w:pPr>
      <w:r>
        <w:rPr>
          <w:rFonts w:ascii="Arial" w:hAnsi="Arial" w:cs="Arial"/>
          <w:sz w:val="20"/>
          <w:szCs w:val="20"/>
        </w:rPr>
        <w:t>Jest fabrycznie nowy, nie gorszej jakości niż produkt zalecany przez producenta sprzętu,</w:t>
      </w:r>
    </w:p>
    <w:p w:rsidR="00473675" w:rsidRDefault="00473675" w:rsidP="00473675">
      <w:pPr>
        <w:pStyle w:val="Akapitzlist"/>
        <w:numPr>
          <w:ilvl w:val="0"/>
          <w:numId w:val="9"/>
        </w:numPr>
        <w:spacing w:after="0" w:line="360" w:lineRule="auto"/>
        <w:ind w:left="1080"/>
        <w:jc w:val="both"/>
        <w:rPr>
          <w:rFonts w:ascii="Arial" w:hAnsi="Arial" w:cs="Arial"/>
        </w:rPr>
      </w:pPr>
      <w:r>
        <w:rPr>
          <w:rFonts w:ascii="Arial" w:hAnsi="Arial" w:cs="Arial"/>
          <w:sz w:val="20"/>
          <w:szCs w:val="20"/>
        </w:rPr>
        <w:t>Posiada znak firmowy producenta oraz etykiety identyfikujące dany produkt, pojemność/wydajność (ilość uzyskanych kopii) nie może być mniejsza niż dla produktów oryginalnych, zgodnie z normami ISO/IEC 19752, ISO/IEC 19798, ISO/IEC 24711 lub normami równoważnymi.</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Jeżeli w trakcie trwania umowy Zamawiający stwierdzi, iż wydajność, jakość lub niezawodność dostarczonych produktów równoważnych odbiegała na niekorzyść od parametrów produktu oryginalnego (pochodzącego od producenta urządzenia, do  którego materiał jest przeznaczony) lub jeżeli produkt nie sygnalizuje we właściwy sposób stanu zużycia tuszu lub tonera, Zamawiający może zażądać od Wykonawcy zmiany materiału oferowanego na materiał oryginalny, pochodzący od producenta urządzenia.</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W przypadku 2-krotnej reklamacji danej pozycji materiału eksploatacyjnego równoważnego, Zamawiający może żądać dostaw przedmiotu oryginalnego lub innego spełniającego wymagania i zalecanego przez producenta, w cenie określonej w formularzu cenowym. W takim przypadku wymagana będzie zgoda Zamawiającego na zmianę oferowanego materiału.</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Jeżeli w trakcie trwania umowy Zamawiający stwierdzi wysypywanie tonera do drukarki, w wyniku czego wydruki stają się nieczytelne, Wykonawca na własny koszt dokona czyszczenia drukarki w okresie do 3 dni roboczych od zgłoszenia e-mailem.</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Transport i rozładunek w miejscu odbioru dostawy organizuje Wykonawca na swój koszt, we wskazane przez Zamawiającego miejsce.</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Nie dopuszcza się oferowanie materiałów eksploatacyjnych regenerowanych – nie zostaną one uznane za równoważne. W przypadku, gdy Wykonawca przedstawi w swojej ofercie materiały eksploatacyjne regenerowane, tak oferta zostanie odrzucona.</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 xml:space="preserve">Materiały „równoważne” nie mogą powodować ograniczeń funkcji i możliwości urządzenia oraz jakości wydruku. Po jego zainstalowaniu w urządzeniu na monitorze oraz w panelu kontrolnym urządzenia nie mogą pojawiać się żadne negatywne komunikaty oraz musi  pokazywać aktualny stan materiałów eksploatacyjnych. </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Zastosowanie materiałów „równoważnych” nie może naruszać warunków gwarancji urządzeń.</w:t>
      </w: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Część urządzeń posiada aktualną gwarancję producenta. Jeżeli na skutek awarii urządzenia wynikłej z winy stosowania materiałów równoważnych Zamawiających utraci gwarancję producenta urządzenia, w ramach rekompensaty za utracone korzyści Wykonawca zobowiązany będzie do przyjęcia obowiązków gwaranta na pozostały okres udzielonej gwarancji, bez zmiany jej warunków.</w:t>
      </w:r>
    </w:p>
    <w:p w:rsidR="00473675" w:rsidRP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W przypadku dostarczenia materiałów eksploatacyjnych niezgodnych ze złożoną ofertą lub wadliwych, Zamawiający zwróci niezgodny lub wadliwy produkt na koszt Wykonawcy, a Wykonawca będzie zobowiązany do dostarczenia produktu zgodnego z wymogami w ciągu … dni roboczych (zgodnie z ofertą) od chwili zgłoszenia reklamacji e-mailem.</w:t>
      </w:r>
    </w:p>
    <w:p w:rsidR="00473675" w:rsidRDefault="00473675" w:rsidP="00473675">
      <w:pPr>
        <w:spacing w:after="0" w:line="360" w:lineRule="auto"/>
        <w:jc w:val="both"/>
        <w:rPr>
          <w:rFonts w:ascii="Arial" w:hAnsi="Arial" w:cs="Arial"/>
        </w:rPr>
      </w:pPr>
    </w:p>
    <w:p w:rsidR="00473675" w:rsidRDefault="00473675" w:rsidP="00473675">
      <w:pPr>
        <w:spacing w:after="0" w:line="360" w:lineRule="auto"/>
        <w:jc w:val="both"/>
        <w:rPr>
          <w:rFonts w:ascii="Arial" w:hAnsi="Arial" w:cs="Arial"/>
        </w:rPr>
      </w:pPr>
    </w:p>
    <w:p w:rsidR="00473675" w:rsidRDefault="00473675" w:rsidP="00473675">
      <w:pPr>
        <w:spacing w:after="0" w:line="360" w:lineRule="auto"/>
        <w:jc w:val="both"/>
        <w:rPr>
          <w:rFonts w:ascii="Arial" w:hAnsi="Arial" w:cs="Arial"/>
        </w:rPr>
      </w:pPr>
    </w:p>
    <w:p w:rsidR="00473675" w:rsidRPr="00473675" w:rsidRDefault="00473675" w:rsidP="00473675">
      <w:pPr>
        <w:spacing w:after="0" w:line="360" w:lineRule="auto"/>
        <w:jc w:val="both"/>
        <w:rPr>
          <w:rFonts w:ascii="Arial" w:hAnsi="Arial" w:cs="Arial"/>
        </w:rPr>
      </w:pPr>
    </w:p>
    <w:p w:rsidR="00473675" w:rsidRDefault="00473675" w:rsidP="00473675">
      <w:pPr>
        <w:pStyle w:val="Akapitzlist"/>
        <w:numPr>
          <w:ilvl w:val="0"/>
          <w:numId w:val="5"/>
        </w:numPr>
        <w:spacing w:after="0" w:line="360" w:lineRule="auto"/>
        <w:ind w:left="360"/>
        <w:jc w:val="both"/>
        <w:rPr>
          <w:rFonts w:ascii="Arial" w:hAnsi="Arial" w:cs="Arial"/>
        </w:rPr>
      </w:pPr>
      <w:r>
        <w:rPr>
          <w:rFonts w:ascii="Arial" w:hAnsi="Arial" w:cs="Arial"/>
          <w:sz w:val="20"/>
          <w:szCs w:val="20"/>
        </w:rPr>
        <w:t>Wykonawca zobowiązany będzie do nieodpłatnego odbioru od Zamawiającego zużytych materiałów eksploatacyjnych dostarczając Kartę przekazania odpadu.</w:t>
      </w:r>
    </w:p>
    <w:p w:rsidR="00984CE6" w:rsidRPr="00473675" w:rsidRDefault="00984CE6" w:rsidP="00473675"/>
    <w:sectPr w:rsidR="00984CE6" w:rsidRPr="00473675"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4C" w:rsidRDefault="000D1E4C" w:rsidP="007E3857">
      <w:pPr>
        <w:spacing w:after="0" w:line="240" w:lineRule="auto"/>
      </w:pPr>
      <w:r>
        <w:separator/>
      </w:r>
    </w:p>
  </w:endnote>
  <w:endnote w:type="continuationSeparator" w:id="0">
    <w:p w:rsidR="000D1E4C" w:rsidRDefault="000D1E4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4C" w:rsidRDefault="000D1E4C" w:rsidP="007E3857">
      <w:pPr>
        <w:spacing w:after="0" w:line="240" w:lineRule="auto"/>
      </w:pPr>
      <w:r>
        <w:separator/>
      </w:r>
    </w:p>
  </w:footnote>
  <w:footnote w:type="continuationSeparator" w:id="0">
    <w:p w:rsidR="000D1E4C" w:rsidRDefault="000D1E4C"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D1E4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D1E4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D1E4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rFonts w:ascii="Verdana" w:hAnsi="Verdana" w:cs="Calibri" w:hint="default"/>
        <w:sz w:val="20"/>
        <w:szCs w:val="20"/>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1080" w:hanging="360"/>
      </w:pPr>
      <w:rPr>
        <w:rFonts w:ascii="Verdana" w:hAnsi="Verdana" w:cs="Calibri" w:hint="default"/>
        <w:sz w:val="20"/>
        <w:szCs w:val="20"/>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0"/>
        </w:tabs>
        <w:ind w:left="1080" w:hanging="360"/>
      </w:pPr>
      <w:rPr>
        <w:rFonts w:ascii="Verdana" w:hAnsi="Verdana" w:cs="Verdana" w:hint="default"/>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2136" w:hanging="360"/>
      </w:pPr>
      <w:rPr>
        <w:rFonts w:ascii="Wingdings" w:hAnsi="Wingdings" w:cs="Wingdings" w:hint="default"/>
        <w:sz w:val="20"/>
        <w:szCs w:val="20"/>
      </w:rPr>
    </w:lvl>
  </w:abstractNum>
  <w:abstractNum w:abstractNumId="4" w15:restartNumberingAfterBreak="0">
    <w:nsid w:val="00000005"/>
    <w:multiLevelType w:val="singleLevel"/>
    <w:tmpl w:val="00000005"/>
    <w:name w:val="WW8Num4"/>
    <w:lvl w:ilvl="0">
      <w:start w:val="1"/>
      <w:numFmt w:val="lowerLetter"/>
      <w:lvlText w:val="%1)"/>
      <w:lvlJc w:val="left"/>
      <w:pPr>
        <w:tabs>
          <w:tab w:val="num" w:pos="0"/>
        </w:tabs>
        <w:ind w:left="1800" w:hanging="360"/>
      </w:pPr>
      <w:rPr>
        <w:rFonts w:ascii="Verdana" w:hAnsi="Verdana" w:cs="Verdana" w:hint="default"/>
        <w:sz w:val="20"/>
        <w:szCs w:val="20"/>
      </w:rPr>
    </w:lvl>
  </w:abstractNum>
  <w:abstractNum w:abstractNumId="5" w15:restartNumberingAfterBreak="0">
    <w:nsid w:val="07893E9C"/>
    <w:multiLevelType w:val="hybridMultilevel"/>
    <w:tmpl w:val="898E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0"/>
    <w:lvlOverride w:ilvl="0">
      <w:startOverride w:val="1"/>
    </w:lvlOverride>
  </w:num>
  <w:num w:numId="6">
    <w:abstractNumId w:val="1"/>
    <w:lvlOverride w:ilvl="0">
      <w:startOverride w:val="1"/>
    </w:lvlOverride>
  </w:num>
  <w:num w:numId="7">
    <w:abstractNumId w:val="2"/>
    <w:lvlOverride w:ilvl="0">
      <w:startOverride w:val="1"/>
    </w:lvlOverride>
  </w:num>
  <w:num w:numId="8">
    <w:abstractNumId w:val="3"/>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021B0"/>
    <w:rsid w:val="000212E7"/>
    <w:rsid w:val="00032C17"/>
    <w:rsid w:val="00052E84"/>
    <w:rsid w:val="00097587"/>
    <w:rsid w:val="000D1E4C"/>
    <w:rsid w:val="00103043"/>
    <w:rsid w:val="00170880"/>
    <w:rsid w:val="0017206E"/>
    <w:rsid w:val="00192B2C"/>
    <w:rsid w:val="001E50EC"/>
    <w:rsid w:val="002151C0"/>
    <w:rsid w:val="0021636D"/>
    <w:rsid w:val="002572D1"/>
    <w:rsid w:val="002B66FC"/>
    <w:rsid w:val="002F3BF2"/>
    <w:rsid w:val="00350E90"/>
    <w:rsid w:val="00361403"/>
    <w:rsid w:val="00435D44"/>
    <w:rsid w:val="00473675"/>
    <w:rsid w:val="00475A88"/>
    <w:rsid w:val="004E30BB"/>
    <w:rsid w:val="0060746A"/>
    <w:rsid w:val="00627BE5"/>
    <w:rsid w:val="00633C2C"/>
    <w:rsid w:val="0068766F"/>
    <w:rsid w:val="00695C02"/>
    <w:rsid w:val="00703CBB"/>
    <w:rsid w:val="00734907"/>
    <w:rsid w:val="00791626"/>
    <w:rsid w:val="007E173E"/>
    <w:rsid w:val="007E3857"/>
    <w:rsid w:val="00984CE6"/>
    <w:rsid w:val="009A11EC"/>
    <w:rsid w:val="00A27910"/>
    <w:rsid w:val="00A77775"/>
    <w:rsid w:val="00AE1887"/>
    <w:rsid w:val="00AF382D"/>
    <w:rsid w:val="00B421A9"/>
    <w:rsid w:val="00B46178"/>
    <w:rsid w:val="00B73B19"/>
    <w:rsid w:val="00B9396A"/>
    <w:rsid w:val="00BC4842"/>
    <w:rsid w:val="00C43894"/>
    <w:rsid w:val="00C509B2"/>
    <w:rsid w:val="00CD3F8E"/>
    <w:rsid w:val="00D53E50"/>
    <w:rsid w:val="00D7080F"/>
    <w:rsid w:val="00DA0A23"/>
    <w:rsid w:val="00E01C25"/>
    <w:rsid w:val="00E21598"/>
    <w:rsid w:val="00E21B91"/>
    <w:rsid w:val="00ED5505"/>
    <w:rsid w:val="00F25855"/>
    <w:rsid w:val="00F549D0"/>
    <w:rsid w:val="00F82B53"/>
    <w:rsid w:val="00FD52AD"/>
    <w:rsid w:val="00FD62E8"/>
    <w:rsid w:val="00FF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dymka">
    <w:name w:val="Balloon Text"/>
    <w:basedOn w:val="Normalny"/>
    <w:link w:val="TekstdymkaZnak"/>
    <w:uiPriority w:val="99"/>
    <w:semiHidden/>
    <w:unhideWhenUsed/>
    <w:rsid w:val="000212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2E7"/>
    <w:rPr>
      <w:rFonts w:ascii="Segoe UI" w:hAnsi="Segoe UI" w:cs="Segoe UI"/>
      <w:color w:val="00000A"/>
      <w:sz w:val="18"/>
      <w:szCs w:val="18"/>
    </w:rPr>
  </w:style>
  <w:style w:type="character" w:customStyle="1" w:styleId="fontsize121">
    <w:name w:val="fontsize121"/>
    <w:rsid w:val="0047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3</cp:revision>
  <cp:lastPrinted>2020-03-27T08:29:00Z</cp:lastPrinted>
  <dcterms:created xsi:type="dcterms:W3CDTF">2020-03-24T11:38:00Z</dcterms:created>
  <dcterms:modified xsi:type="dcterms:W3CDTF">2020-03-27T08:32:00Z</dcterms:modified>
</cp:coreProperties>
</file>