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4CBE" w:rsidRPr="00690F04" w:rsidRDefault="003D4CBE" w:rsidP="00690F04">
      <w:pPr>
        <w:pStyle w:val="Tretekstu"/>
        <w:spacing w:line="240" w:lineRule="auto"/>
        <w:ind w:left="5664" w:right="-2" w:firstLine="708"/>
        <w:jc w:val="both"/>
        <w:rPr>
          <w:rFonts w:asciiTheme="minorHAnsi" w:hAnsiTheme="minorHAnsi"/>
          <w:b/>
          <w:i/>
          <w:color w:val="auto"/>
          <w:sz w:val="22"/>
          <w:szCs w:val="22"/>
          <w:u w:val="single"/>
          <w:lang w:val="pl-PL"/>
        </w:rPr>
      </w:pPr>
      <w:r w:rsidRPr="00690F04">
        <w:rPr>
          <w:rFonts w:asciiTheme="minorHAnsi" w:hAnsiTheme="minorHAnsi"/>
          <w:b/>
          <w:i/>
          <w:color w:val="auto"/>
          <w:sz w:val="22"/>
          <w:szCs w:val="22"/>
          <w:u w:val="single"/>
          <w:lang w:val="pl-PL"/>
        </w:rPr>
        <w:t>Załącznik 1 do SIWZ</w:t>
      </w:r>
    </w:p>
    <w:p w:rsidR="003D4CBE" w:rsidRPr="00690F04" w:rsidRDefault="003D4CBE" w:rsidP="00690F04">
      <w:pPr>
        <w:pStyle w:val="Tretekstu"/>
        <w:spacing w:line="240" w:lineRule="auto"/>
        <w:ind w:left="5664" w:right="-2" w:firstLine="708"/>
        <w:jc w:val="both"/>
        <w:rPr>
          <w:rFonts w:asciiTheme="minorHAnsi" w:hAnsiTheme="minorHAnsi"/>
          <w:color w:val="auto"/>
          <w:sz w:val="22"/>
          <w:szCs w:val="22"/>
        </w:rPr>
      </w:pPr>
      <w:r w:rsidRPr="00690F04">
        <w:rPr>
          <w:rFonts w:asciiTheme="minorHAnsi" w:hAnsiTheme="minorHAnsi"/>
          <w:b/>
          <w:i/>
          <w:color w:val="auto"/>
          <w:sz w:val="22"/>
          <w:szCs w:val="22"/>
          <w:u w:val="single"/>
          <w:lang w:val="pl-PL"/>
        </w:rPr>
        <w:t>ZP/PN/</w:t>
      </w:r>
      <w:r w:rsidR="006B7533">
        <w:rPr>
          <w:rFonts w:asciiTheme="minorHAnsi" w:hAnsiTheme="minorHAnsi"/>
          <w:b/>
          <w:i/>
          <w:color w:val="auto"/>
          <w:sz w:val="22"/>
          <w:szCs w:val="22"/>
          <w:u w:val="single"/>
          <w:lang w:val="pl-PL"/>
        </w:rPr>
        <w:t>62</w:t>
      </w:r>
      <w:r w:rsidRPr="00690F04">
        <w:rPr>
          <w:rFonts w:asciiTheme="minorHAnsi" w:hAnsiTheme="minorHAnsi"/>
          <w:b/>
          <w:i/>
          <w:color w:val="auto"/>
          <w:sz w:val="22"/>
          <w:szCs w:val="22"/>
          <w:u w:val="single"/>
          <w:lang w:val="pl-PL"/>
        </w:rPr>
        <w:t>/2016</w:t>
      </w:r>
    </w:p>
    <w:p w:rsidR="003D4CBE" w:rsidRPr="00690F04" w:rsidRDefault="003D4CBE" w:rsidP="00690F04">
      <w:pPr>
        <w:jc w:val="both"/>
        <w:rPr>
          <w:b/>
          <w:sz w:val="24"/>
          <w:szCs w:val="24"/>
          <w:lang w:val="cs-CZ"/>
        </w:rPr>
      </w:pPr>
    </w:p>
    <w:p w:rsidR="00665090" w:rsidRPr="008F2CA4" w:rsidRDefault="00665090" w:rsidP="00665090">
      <w:pPr>
        <w:tabs>
          <w:tab w:val="left" w:pos="142"/>
          <w:tab w:val="left" w:pos="284"/>
        </w:tabs>
        <w:spacing w:after="0" w:line="240" w:lineRule="auto"/>
        <w:jc w:val="center"/>
        <w:rPr>
          <w:b/>
        </w:rPr>
      </w:pPr>
      <w:r w:rsidRPr="008F2CA4">
        <w:rPr>
          <w:b/>
        </w:rPr>
        <w:t>Opis przedmiotu zamówienia na usługę</w:t>
      </w:r>
    </w:p>
    <w:p w:rsidR="00665090" w:rsidRPr="008F2CA4" w:rsidRDefault="00665090" w:rsidP="00665090">
      <w:pPr>
        <w:tabs>
          <w:tab w:val="left" w:pos="142"/>
          <w:tab w:val="left" w:pos="284"/>
        </w:tabs>
        <w:spacing w:after="0" w:line="240" w:lineRule="auto"/>
        <w:jc w:val="center"/>
        <w:rPr>
          <w:rFonts w:ascii="Calibri" w:hAnsi="Calibri"/>
          <w:b/>
        </w:rPr>
      </w:pPr>
      <w:r w:rsidRPr="008F2CA4">
        <w:rPr>
          <w:b/>
        </w:rPr>
        <w:t>„</w:t>
      </w:r>
      <w:r w:rsidRPr="008F2CA4">
        <w:rPr>
          <w:rFonts w:ascii="Calibri" w:hAnsi="Calibri"/>
          <w:b/>
        </w:rPr>
        <w:t xml:space="preserve">Grupowego ubezpieczenia na życie pracowników Szpitala Powiatowego w Zawierciu </w:t>
      </w:r>
    </w:p>
    <w:p w:rsidR="00665090" w:rsidRPr="008F2CA4" w:rsidRDefault="00665090" w:rsidP="00665090">
      <w:pPr>
        <w:tabs>
          <w:tab w:val="left" w:pos="142"/>
          <w:tab w:val="left" w:pos="284"/>
        </w:tabs>
        <w:spacing w:after="0" w:line="240" w:lineRule="auto"/>
        <w:jc w:val="center"/>
        <w:rPr>
          <w:b/>
        </w:rPr>
      </w:pPr>
      <w:r w:rsidRPr="008F2CA4">
        <w:rPr>
          <w:rFonts w:ascii="Calibri" w:hAnsi="Calibri"/>
          <w:b/>
        </w:rPr>
        <w:t>oraz członków ich rodzin</w:t>
      </w:r>
      <w:r w:rsidRPr="008F2CA4">
        <w:rPr>
          <w:b/>
        </w:rPr>
        <w:t>”</w:t>
      </w:r>
    </w:p>
    <w:p w:rsidR="003D4CBE" w:rsidRPr="00690F04" w:rsidRDefault="003D4CBE" w:rsidP="00690F04">
      <w:pPr>
        <w:jc w:val="both"/>
        <w:rPr>
          <w:b/>
          <w:sz w:val="24"/>
          <w:szCs w:val="24"/>
        </w:rPr>
      </w:pPr>
    </w:p>
    <w:p w:rsidR="003D4CBE" w:rsidRPr="00690F04" w:rsidRDefault="003D4CBE" w:rsidP="00690F04">
      <w:pPr>
        <w:pStyle w:val="Akapitzlist"/>
        <w:numPr>
          <w:ilvl w:val="0"/>
          <w:numId w:val="1"/>
        </w:numPr>
        <w:jc w:val="both"/>
        <w:rPr>
          <w:b/>
        </w:rPr>
      </w:pPr>
      <w:r w:rsidRPr="00690F04">
        <w:rPr>
          <w:b/>
        </w:rPr>
        <w:t>Informacje ogólne :</w:t>
      </w:r>
    </w:p>
    <w:p w:rsidR="003D4CBE" w:rsidRPr="00690F04" w:rsidRDefault="003D4CBE" w:rsidP="00690F04">
      <w:pPr>
        <w:ind w:left="360"/>
        <w:jc w:val="both"/>
        <w:rPr>
          <w:b/>
        </w:rPr>
      </w:pPr>
    </w:p>
    <w:p w:rsidR="003D4CBE" w:rsidRPr="00690F04" w:rsidRDefault="003D4CBE" w:rsidP="00690F04">
      <w:pPr>
        <w:pStyle w:val="Akapitzlist"/>
        <w:numPr>
          <w:ilvl w:val="0"/>
          <w:numId w:val="2"/>
        </w:numPr>
        <w:jc w:val="both"/>
      </w:pPr>
      <w:r w:rsidRPr="00690F04">
        <w:t>Ubezpieczający :</w:t>
      </w:r>
    </w:p>
    <w:p w:rsidR="003D4CBE" w:rsidRPr="00690F04" w:rsidRDefault="003D4CBE" w:rsidP="00690F04">
      <w:pPr>
        <w:ind w:left="708"/>
        <w:jc w:val="both"/>
      </w:pPr>
      <w:r w:rsidRPr="00690F04">
        <w:t>Szpital Powiatowy w Zawierciu</w:t>
      </w:r>
    </w:p>
    <w:p w:rsidR="003D4CBE" w:rsidRPr="00690F04" w:rsidRDefault="003D4CBE" w:rsidP="00690F04">
      <w:pPr>
        <w:ind w:left="708"/>
        <w:jc w:val="both"/>
      </w:pPr>
      <w:r w:rsidRPr="00690F04">
        <w:t>Ul. Miodowa 14</w:t>
      </w:r>
    </w:p>
    <w:p w:rsidR="003D4CBE" w:rsidRPr="00690F04" w:rsidRDefault="003D4CBE" w:rsidP="00690F04">
      <w:pPr>
        <w:ind w:left="708"/>
        <w:jc w:val="both"/>
      </w:pPr>
      <w:r w:rsidRPr="00690F04">
        <w:t>42-400 Zawiercie</w:t>
      </w:r>
    </w:p>
    <w:p w:rsidR="003D4CBE" w:rsidRPr="00690F04" w:rsidRDefault="003D4CBE" w:rsidP="00690F04">
      <w:pPr>
        <w:ind w:left="708"/>
        <w:jc w:val="both"/>
        <w:rPr>
          <w:rFonts w:cs="Arial"/>
          <w:shd w:val="clear" w:color="auto" w:fill="FFFFFF"/>
        </w:rPr>
      </w:pPr>
      <w:r w:rsidRPr="00690F04">
        <w:t xml:space="preserve">Regon: </w:t>
      </w:r>
      <w:r w:rsidRPr="00690F04">
        <w:rPr>
          <w:rFonts w:cs="Arial"/>
          <w:shd w:val="clear" w:color="auto" w:fill="FFFFFF"/>
        </w:rPr>
        <w:t>276271110</w:t>
      </w:r>
    </w:p>
    <w:p w:rsidR="003D4CBE" w:rsidRPr="00690F04" w:rsidRDefault="003D4CBE" w:rsidP="00690F04">
      <w:pPr>
        <w:ind w:left="708"/>
        <w:jc w:val="both"/>
        <w:rPr>
          <w:rFonts w:cs="Arial"/>
          <w:shd w:val="clear" w:color="auto" w:fill="FFFFFF"/>
        </w:rPr>
      </w:pPr>
    </w:p>
    <w:p w:rsidR="004025BF" w:rsidRPr="00690F04" w:rsidRDefault="004025BF" w:rsidP="00690F04">
      <w:pPr>
        <w:ind w:left="708"/>
        <w:jc w:val="both"/>
        <w:rPr>
          <w:rFonts w:cs="Arial"/>
          <w:shd w:val="clear" w:color="auto" w:fill="FFFFFF"/>
        </w:rPr>
      </w:pPr>
      <w:r w:rsidRPr="00690F04">
        <w:rPr>
          <w:rFonts w:cs="Arial"/>
          <w:shd w:val="clear" w:color="auto" w:fill="FFFFFF"/>
        </w:rPr>
        <w:t xml:space="preserve">Stan na :  </w:t>
      </w:r>
    </w:p>
    <w:tbl>
      <w:tblPr>
        <w:tblStyle w:val="Tabela-Siatka"/>
        <w:tblW w:w="0" w:type="auto"/>
        <w:tblInd w:w="708" w:type="dxa"/>
        <w:tblLook w:val="04A0"/>
      </w:tblPr>
      <w:tblGrid>
        <w:gridCol w:w="6658"/>
        <w:gridCol w:w="1696"/>
      </w:tblGrid>
      <w:tr w:rsidR="00573C0A" w:rsidRPr="00690F04" w:rsidTr="00573C0A">
        <w:tc>
          <w:tcPr>
            <w:tcW w:w="6658" w:type="dxa"/>
          </w:tcPr>
          <w:p w:rsidR="003D4CBE" w:rsidRPr="00690F04" w:rsidRDefault="003D4CBE" w:rsidP="00690F04">
            <w:pPr>
              <w:jc w:val="both"/>
            </w:pPr>
          </w:p>
        </w:tc>
        <w:tc>
          <w:tcPr>
            <w:tcW w:w="1696" w:type="dxa"/>
          </w:tcPr>
          <w:p w:rsidR="003D4CBE" w:rsidRPr="00690F04" w:rsidRDefault="003D4CBE" w:rsidP="00690F04">
            <w:pPr>
              <w:jc w:val="both"/>
            </w:pPr>
            <w:r w:rsidRPr="00690F04">
              <w:t>Liczba</w:t>
            </w:r>
          </w:p>
        </w:tc>
      </w:tr>
      <w:tr w:rsidR="00573C0A" w:rsidRPr="00690F04" w:rsidTr="00C90E1D">
        <w:tc>
          <w:tcPr>
            <w:tcW w:w="6658" w:type="dxa"/>
          </w:tcPr>
          <w:p w:rsidR="003D4CBE" w:rsidRPr="00690F04" w:rsidRDefault="003D4CBE" w:rsidP="00690F04">
            <w:pPr>
              <w:jc w:val="both"/>
            </w:pPr>
            <w:r w:rsidRPr="00690F04">
              <w:t>Pracownicy ogółem</w:t>
            </w:r>
          </w:p>
        </w:tc>
        <w:tc>
          <w:tcPr>
            <w:tcW w:w="1696" w:type="dxa"/>
            <w:vAlign w:val="center"/>
          </w:tcPr>
          <w:p w:rsidR="003D4CBE" w:rsidRPr="00690F04" w:rsidRDefault="0013001B" w:rsidP="00C90E1D">
            <w:pPr>
              <w:jc w:val="center"/>
            </w:pPr>
            <w:r>
              <w:t>71</w:t>
            </w:r>
            <w:r w:rsidR="00C90E1D">
              <w:t>5</w:t>
            </w:r>
          </w:p>
        </w:tc>
      </w:tr>
      <w:tr w:rsidR="00573C0A" w:rsidRPr="00690F04" w:rsidTr="00C90E1D">
        <w:tc>
          <w:tcPr>
            <w:tcW w:w="6658" w:type="dxa"/>
          </w:tcPr>
          <w:p w:rsidR="003D4CBE" w:rsidRPr="00690F04" w:rsidRDefault="00573C0A" w:rsidP="00690F04">
            <w:pPr>
              <w:jc w:val="both"/>
            </w:pPr>
            <w:r w:rsidRPr="00690F04">
              <w:t>Pracownicy ubezpieczeni w ramach ubezpieczeń grupowych</w:t>
            </w:r>
          </w:p>
        </w:tc>
        <w:tc>
          <w:tcPr>
            <w:tcW w:w="1696" w:type="dxa"/>
            <w:vAlign w:val="center"/>
          </w:tcPr>
          <w:p w:rsidR="003D4CBE" w:rsidRPr="00690F04" w:rsidRDefault="00C90E1D" w:rsidP="00C90E1D">
            <w:pPr>
              <w:jc w:val="center"/>
            </w:pPr>
            <w:r>
              <w:t>4</w:t>
            </w:r>
            <w:r w:rsidR="003D36C9">
              <w:t>46</w:t>
            </w:r>
          </w:p>
        </w:tc>
      </w:tr>
      <w:tr w:rsidR="00573C0A" w:rsidRPr="00690F04" w:rsidTr="00C90E1D">
        <w:tc>
          <w:tcPr>
            <w:tcW w:w="6658" w:type="dxa"/>
          </w:tcPr>
          <w:p w:rsidR="003D4CBE" w:rsidRPr="00690F04" w:rsidRDefault="00573C0A" w:rsidP="00690F04">
            <w:pPr>
              <w:jc w:val="both"/>
            </w:pPr>
            <w:r w:rsidRPr="00690F04">
              <w:t>Współmałżonkowie, pełnoletnie dzieci</w:t>
            </w:r>
            <w:r w:rsidR="004025BF" w:rsidRPr="00690F04">
              <w:t xml:space="preserve"> oraz partnerzy życiowi</w:t>
            </w:r>
            <w:r w:rsidRPr="00690F04">
              <w:t xml:space="preserve"> posiadający ochronę ubezpieczeniową w ramach ubezpieczeń grupowych na prawach pracownika</w:t>
            </w:r>
          </w:p>
        </w:tc>
        <w:tc>
          <w:tcPr>
            <w:tcW w:w="1696" w:type="dxa"/>
            <w:vAlign w:val="center"/>
          </w:tcPr>
          <w:p w:rsidR="003D4CBE" w:rsidRPr="00690F04" w:rsidRDefault="003D36C9" w:rsidP="00C90E1D">
            <w:pPr>
              <w:jc w:val="center"/>
            </w:pPr>
            <w:r>
              <w:t>112</w:t>
            </w:r>
          </w:p>
        </w:tc>
      </w:tr>
    </w:tbl>
    <w:p w:rsidR="003D4CBE" w:rsidRPr="00690F04" w:rsidRDefault="003D4CBE" w:rsidP="00690F04">
      <w:pPr>
        <w:ind w:left="708"/>
        <w:jc w:val="both"/>
      </w:pPr>
    </w:p>
    <w:p w:rsidR="004025BF" w:rsidRPr="00690F04" w:rsidRDefault="004025BF" w:rsidP="00690F04">
      <w:pPr>
        <w:ind w:left="708"/>
        <w:jc w:val="both"/>
      </w:pPr>
      <w:r w:rsidRPr="00690F04">
        <w:t>Struktura zawodowo-wiekowa zosta</w:t>
      </w:r>
      <w:r w:rsidR="003D36C9">
        <w:t>ła określona w załączniku nr  4</w:t>
      </w:r>
    </w:p>
    <w:p w:rsidR="004025BF" w:rsidRPr="00690F04" w:rsidRDefault="004025BF" w:rsidP="00690F04">
      <w:pPr>
        <w:pStyle w:val="Akapitzlist"/>
        <w:numPr>
          <w:ilvl w:val="0"/>
          <w:numId w:val="2"/>
        </w:numPr>
        <w:jc w:val="both"/>
      </w:pPr>
      <w:r w:rsidRPr="00690F04">
        <w:t>Okres ubezpiecze</w:t>
      </w:r>
      <w:r w:rsidR="00545798" w:rsidRPr="00690F04">
        <w:t>nia</w:t>
      </w:r>
      <w:r w:rsidRPr="00690F04">
        <w:t>: od 01.</w:t>
      </w:r>
      <w:r w:rsidR="008C3D5C" w:rsidRPr="00690F04">
        <w:t>0</w:t>
      </w:r>
      <w:r w:rsidR="00295909">
        <w:t>3</w:t>
      </w:r>
      <w:r w:rsidRPr="00690F04">
        <w:t>.201</w:t>
      </w:r>
      <w:r w:rsidR="008C3D5C" w:rsidRPr="00690F04">
        <w:t>7</w:t>
      </w:r>
      <w:r w:rsidRPr="00690F04">
        <w:t xml:space="preserve"> do </w:t>
      </w:r>
      <w:r w:rsidR="00295909">
        <w:t>29</w:t>
      </w:r>
      <w:r w:rsidRPr="00690F04">
        <w:t>.</w:t>
      </w:r>
      <w:r w:rsidR="008C3D5C" w:rsidRPr="00690F04">
        <w:t>0</w:t>
      </w:r>
      <w:r w:rsidR="00295909">
        <w:t>2</w:t>
      </w:r>
      <w:r w:rsidRPr="00690F04">
        <w:t>.20</w:t>
      </w:r>
      <w:r w:rsidR="008C3D5C" w:rsidRPr="00690F04">
        <w:t xml:space="preserve">20 </w:t>
      </w:r>
      <w:r w:rsidRPr="00690F04">
        <w:t>(36 miesięcy)</w:t>
      </w:r>
    </w:p>
    <w:p w:rsidR="000B17B2" w:rsidRPr="00690F04" w:rsidRDefault="000B17B2" w:rsidP="00690F04">
      <w:pPr>
        <w:pStyle w:val="Akapitzlist"/>
        <w:jc w:val="both"/>
      </w:pPr>
    </w:p>
    <w:p w:rsidR="000B17B2" w:rsidRPr="00690F04" w:rsidRDefault="000B17B2" w:rsidP="00690F04">
      <w:pPr>
        <w:pStyle w:val="Akapitzlist"/>
        <w:numPr>
          <w:ilvl w:val="0"/>
          <w:numId w:val="2"/>
        </w:numPr>
        <w:jc w:val="both"/>
      </w:pPr>
      <w:r w:rsidRPr="00690F04">
        <w:t>Początek i koniec odpowiedzialności :</w:t>
      </w:r>
    </w:p>
    <w:p w:rsidR="000B17B2" w:rsidRPr="00690F04" w:rsidRDefault="000B17B2" w:rsidP="00690F04">
      <w:pPr>
        <w:pStyle w:val="Akapitzlist"/>
        <w:jc w:val="both"/>
      </w:pPr>
      <w:r w:rsidRPr="00690F04">
        <w:t>36 miesięcy od podpisania i wejścia w życie umowy pomiędzy Zamawiającym a Wykonawcą. Początkiem odpowiedzialności będzie pierwszy dzień miesiąca kalendarzowego pierwszego miesiąca udzielania ochrony, zaś dniem końca odpowiedzialności będzie ostatni dzień miesiąca kalendarzowego 36 miesiąca odpowiedzialności Ubezpieczyciela</w:t>
      </w:r>
    </w:p>
    <w:p w:rsidR="004025BF" w:rsidRPr="00690F04" w:rsidRDefault="004025BF" w:rsidP="00690F04">
      <w:pPr>
        <w:pStyle w:val="Akapitzlist"/>
        <w:jc w:val="both"/>
      </w:pPr>
    </w:p>
    <w:p w:rsidR="006E31A6" w:rsidRPr="00690F04" w:rsidRDefault="004025BF" w:rsidP="00690F04">
      <w:pPr>
        <w:pStyle w:val="Akapitzlist"/>
        <w:numPr>
          <w:ilvl w:val="0"/>
          <w:numId w:val="2"/>
        </w:numPr>
        <w:jc w:val="both"/>
      </w:pPr>
      <w:r w:rsidRPr="00690F04">
        <w:t>Przedmiot Zamówienia :</w:t>
      </w:r>
    </w:p>
    <w:p w:rsidR="00492463" w:rsidRPr="00690F04" w:rsidRDefault="00492463" w:rsidP="00690F04">
      <w:pPr>
        <w:pStyle w:val="Akapitzlist"/>
        <w:jc w:val="both"/>
      </w:pPr>
      <w:r w:rsidRPr="00690F04">
        <w:t>Przedmiotem zamówienia jest usługa grupowego ubezpieczenia na życie pracowników Powiatowego Szpitala w Zawierciu, ich małżonków, pełnoletnich dzieci oraz partnerów życiowych</w:t>
      </w:r>
    </w:p>
    <w:p w:rsidR="006E31A6" w:rsidRPr="00690F04" w:rsidRDefault="006E31A6" w:rsidP="00690F04">
      <w:pPr>
        <w:pStyle w:val="Akapitzlist"/>
        <w:jc w:val="both"/>
      </w:pPr>
    </w:p>
    <w:p w:rsidR="00492463" w:rsidRPr="00690F04" w:rsidRDefault="00CC54C2" w:rsidP="00690F04">
      <w:pPr>
        <w:pStyle w:val="Akapitzlist"/>
        <w:numPr>
          <w:ilvl w:val="0"/>
          <w:numId w:val="2"/>
        </w:numPr>
        <w:jc w:val="both"/>
      </w:pPr>
      <w:r w:rsidRPr="00690F04">
        <w:t xml:space="preserve">Zakres ubezpieczenia i </w:t>
      </w:r>
      <w:r w:rsidR="00492463" w:rsidRPr="00690F04">
        <w:t>uprawnieni do ubezpieczenia</w:t>
      </w:r>
      <w:r w:rsidR="000B17B2" w:rsidRPr="00690F04">
        <w:t>:</w:t>
      </w:r>
    </w:p>
    <w:p w:rsidR="00CC54C2" w:rsidRPr="00690F04" w:rsidRDefault="00492463" w:rsidP="00690F04">
      <w:pPr>
        <w:pStyle w:val="Akapitzlist"/>
        <w:jc w:val="both"/>
      </w:pPr>
      <w:r w:rsidRPr="00690F04">
        <w:t xml:space="preserve">Wraz z zawarciem umowy lub w trakcie jej trwania do ubezpieczenia mogą przystąpić pracownicy Zamawiającego, ich małżonkowie, pełnoletnie dzieci oraz partnerzy życiowi, którzy w dniu złożenia deklaracji przystąpienia ukończyli 18 rok życia i nie ukończyli 69 roku </w:t>
      </w:r>
      <w:r w:rsidRPr="00690F04">
        <w:lastRenderedPageBreak/>
        <w:t>życia.</w:t>
      </w:r>
      <w:r w:rsidR="00A702AE" w:rsidRPr="00690F04">
        <w:rPr>
          <w:b/>
        </w:rPr>
        <w:t>W stosunku do osób zatrudnionych, które przystąpią do ubezpieczenia przed ukończeniem 69 roku życia, a będą nadal pracownikami Zamawiającego zostaną objęte pełnym zakresem ubezpieczenia przez cały okres trwania umowy zawartej w drodze niniejszego postępowania</w:t>
      </w:r>
      <w:r w:rsidR="00A702AE" w:rsidRPr="00690F04">
        <w:t xml:space="preserve">. </w:t>
      </w:r>
      <w:r w:rsidR="008C3D5C" w:rsidRPr="00690F04">
        <w:rPr>
          <w:b/>
        </w:rPr>
        <w:t>W stosunku do członków rodzin ochrona wygasa w momencie ukończenia przez członka rodziny 70 rok życia.</w:t>
      </w:r>
      <w:r w:rsidR="00CC54C2" w:rsidRPr="00690F04">
        <w:t xml:space="preserve"> Wykonawca obejmuje ochroną ubezpieczeniową skutki stanów chorobowych oraz wypadków, które zostały stwierdzone lub zaszły przed początkiem odpowiedzialności Wykonawcy/Ubezpieczyciela, a których skutki ujawniły się po rozpoczęciu odpowiedzialności Wykonawcy pod warunkiem, że pracownik, członek rodziny lub partner życiowy był ubezpieczony w ramach ubezpieczenia grupowego funkcjonującego u Zamawiającego (zniesienie pre-existingu). Do okresu wyłączenia odpowiedzialności z tytułu zgonu ubezpieczającego w wyniku samobójstwa Wykonawca zaliczy staż ubezpieczonego z poprzedniej umowy ubezpieczenia.</w:t>
      </w:r>
      <w:r w:rsidR="00A702AE" w:rsidRPr="00690F04">
        <w:t xml:space="preserve"> Wykonawca nie może odmówić wypłaty świadczenia z powodu zgonu Ubezpieczonego w następstwie nieszczęśliwego wypadku, wypadku przy pracy, wypadku komunikacyjnego przy pracy i wypadku komunikacyjnego, jeżeli śmierć Ubezpieczonego nastąpiła w terminie nieprzekraczającym 180 dni od daty nieszczęśliwego wypadku, wypadku przy pracy, wypadku komunikacyjnego przy pracy lub wypadku komunikacyjnego jeżeli zgon nastąpił w okresie trwania umowy ubezpieczenia zawartej w wyniku udzielenia przedmiotowego zamówienia.</w:t>
      </w:r>
    </w:p>
    <w:p w:rsidR="006E31A6" w:rsidRPr="00690F04" w:rsidRDefault="006E31A6" w:rsidP="00690F04">
      <w:pPr>
        <w:pStyle w:val="Akapitzlist"/>
        <w:jc w:val="both"/>
      </w:pPr>
    </w:p>
    <w:p w:rsidR="006E31A6" w:rsidRPr="00690F04" w:rsidRDefault="006E31A6" w:rsidP="00690F04">
      <w:pPr>
        <w:pStyle w:val="Akapitzlist"/>
        <w:numPr>
          <w:ilvl w:val="0"/>
          <w:numId w:val="2"/>
        </w:numPr>
        <w:jc w:val="both"/>
      </w:pPr>
      <w:r w:rsidRPr="00690F04">
        <w:t>Poziom partycypacji</w:t>
      </w:r>
      <w:r w:rsidR="000B17B2" w:rsidRPr="00690F04">
        <w:t>:</w:t>
      </w:r>
    </w:p>
    <w:p w:rsidR="006E31A6" w:rsidRPr="00690F04" w:rsidRDefault="006E31A6" w:rsidP="00690F04">
      <w:pPr>
        <w:pStyle w:val="Akapitzlist"/>
        <w:jc w:val="both"/>
      </w:pPr>
      <w:r w:rsidRPr="00690F04">
        <w:t>Zamawiający, z uwagi na dobrowolny charakter ubezpieczenia, nie gwarantuje przystąpienia do ubezpieczenia określonej liczby pracowników i jednocześnie wymaga od Wykonawcy zaakceptowania niezmienności swojej oferty niezależnie od ilości osób przystępujących do ubezpieczenia oraz zniesienia minimalnego limitu ilościowego grupy ubezpieczonych</w:t>
      </w:r>
      <w:r w:rsidR="000B17B2" w:rsidRPr="00690F04">
        <w:t xml:space="preserve"> dla danych wariantów</w:t>
      </w:r>
      <w:r w:rsidRPr="00690F04">
        <w:t>.</w:t>
      </w:r>
    </w:p>
    <w:p w:rsidR="006E31A6" w:rsidRPr="00690F04" w:rsidRDefault="006E31A6" w:rsidP="00690F04">
      <w:pPr>
        <w:pStyle w:val="Akapitzlist"/>
        <w:jc w:val="both"/>
      </w:pPr>
    </w:p>
    <w:p w:rsidR="006E31A6" w:rsidRPr="00690F04" w:rsidRDefault="006E31A6" w:rsidP="00690F04">
      <w:pPr>
        <w:pStyle w:val="Akapitzlist"/>
        <w:numPr>
          <w:ilvl w:val="0"/>
          <w:numId w:val="2"/>
        </w:numPr>
        <w:jc w:val="both"/>
      </w:pPr>
      <w:r w:rsidRPr="00690F04">
        <w:t>Weryfikacja medyczna</w:t>
      </w:r>
      <w:r w:rsidR="000B17B2" w:rsidRPr="00690F04">
        <w:t>:</w:t>
      </w:r>
    </w:p>
    <w:p w:rsidR="000B17B2" w:rsidRPr="00690F04" w:rsidRDefault="006E31A6" w:rsidP="00690F04">
      <w:pPr>
        <w:pStyle w:val="Akapitzlist"/>
        <w:jc w:val="both"/>
      </w:pPr>
      <w:r w:rsidRPr="00690F04">
        <w:t>Zamawiający nie dopuszcza żądania przez Wykonawcę wypełniania ankiet i kwestionariuszy medycznych oraz innych podobnych dokumentów, na podstawie których weryfikowany może być ich stan zdrowia</w:t>
      </w:r>
      <w:r w:rsidR="0038268C" w:rsidRPr="00690F04">
        <w:t>. Sytuacja dotyczy Ubezpieczonych tj. pracowników i członków ich rodzin w ramach wcześniejszego Ubezpieczenia Grupowego na Życie</w:t>
      </w:r>
      <w:r w:rsidR="000D63D8" w:rsidRPr="00690F04">
        <w:t>. Dla wcześniej nie ubezpieczonych</w:t>
      </w:r>
      <w:r w:rsidR="0038268C" w:rsidRPr="00690F04">
        <w:t xml:space="preserve"> pracowników lub</w:t>
      </w:r>
      <w:r w:rsidR="000D63D8" w:rsidRPr="00690F04">
        <w:t xml:space="preserve"> członków rodzin przystępujących po okresie 3 miesięcy od daty zawarcia umowy ubezpieczenia tj. 01.0</w:t>
      </w:r>
      <w:r w:rsidR="00D46D45">
        <w:t>3</w:t>
      </w:r>
      <w:r w:rsidR="000D63D8" w:rsidRPr="00690F04">
        <w:t>.2017 r. Zamawiający dopuszcza oświadczenia o stanie zdrowia.</w:t>
      </w:r>
      <w:r w:rsidRPr="00690F04">
        <w:t xml:space="preserve"> Jednocześnie Wykonawca zobowiązuje się do przyjęcia do ubezpieczenia wszystkich uprawnionych przebywających na zwolnieniach lekarskich, urlopach macierzyńskich i wychowawczych, urlopach bezpłatnych bądź w szpitalu, o ile byli oni ubezpieczeni w dotychczas funkcjonującej umowie ubezpieczenia grupowego na życie, a składka ubezpieczeniowa przekazywana</w:t>
      </w:r>
      <w:r w:rsidR="008C3D5C" w:rsidRPr="00690F04">
        <w:t xml:space="preserve"> była</w:t>
      </w:r>
      <w:r w:rsidRPr="00690F04">
        <w:t xml:space="preserve"> za te osoby przez Zamawiającego łącznie ze składką za pozostałych uprawnionych</w:t>
      </w:r>
      <w:r w:rsidR="000B17B2" w:rsidRPr="00690F04">
        <w:t>.</w:t>
      </w:r>
    </w:p>
    <w:p w:rsidR="000B17B2" w:rsidRPr="00690F04" w:rsidRDefault="000B17B2" w:rsidP="00690F04">
      <w:pPr>
        <w:pStyle w:val="Akapitzlist"/>
        <w:jc w:val="both"/>
      </w:pPr>
    </w:p>
    <w:p w:rsidR="000B17B2" w:rsidRPr="00690F04" w:rsidRDefault="000B17B2" w:rsidP="00690F04">
      <w:pPr>
        <w:pStyle w:val="Akapitzlist"/>
        <w:numPr>
          <w:ilvl w:val="0"/>
          <w:numId w:val="2"/>
        </w:numPr>
        <w:jc w:val="both"/>
      </w:pPr>
      <w:r w:rsidRPr="00690F04">
        <w:t>Karencje:</w:t>
      </w:r>
    </w:p>
    <w:p w:rsidR="000B17B2" w:rsidRPr="00690F04" w:rsidRDefault="000B17B2" w:rsidP="00690F04">
      <w:pPr>
        <w:pStyle w:val="Akapitzlist"/>
        <w:jc w:val="both"/>
      </w:pPr>
      <w:r w:rsidRPr="00690F04">
        <w:t xml:space="preserve">Zamawiający wymaga aby w stosunku do osób będących pracownikami w dniu zawarcia umowy ubezpieczenia, które przystąpią do ubezpieczenia w ciągu 3 miesięcy od daty zawarcia umowy ubezpieczenia nie miały zastosowania okresy karencji w pełnym zakresie oferty. Karencji nie stosuje się również w stosunku do osób zatrudnionych w trakcie trwania umowy ubezpieczenia, które przystąpią do ubezpieczenia grupowego w okresie 3 miesięcy od daty zatrudnienia. W pozostałych przypadkach zastosowanie mają zapisy OWU dotyczące okresów karencji z wyłączeniem ryzyk związanych z następstwem nieszczęśliwych wypadków. </w:t>
      </w:r>
    </w:p>
    <w:p w:rsidR="00FD4C45" w:rsidRDefault="000B17B2" w:rsidP="00690F04">
      <w:pPr>
        <w:pStyle w:val="Akapitzlist"/>
        <w:jc w:val="both"/>
      </w:pPr>
      <w:r w:rsidRPr="00690F04">
        <w:lastRenderedPageBreak/>
        <w:t>Karencje dla członków rodzin pracowników (małżonka, pełnoletniego dziecka) - Zamawiający wymaga brak zastosowania karencji  pod warunkiem przystąpienia do ubezpieczenia w ciągu 3 miesięcy od daty zawarcia umowy ubezpieczenia.</w:t>
      </w:r>
      <w:r w:rsidR="00FD4C45" w:rsidRPr="00690F04">
        <w:t xml:space="preserve"> Karencje nie będą miały zastosowania również w stosunku do członków rodziny, którzy przystąpią do ubezpieczenia w trakcie trwania umowy ubezpieczenia w okresie 3 miesięcy od daty zatrudnienia pracownika, od daty zawarcia związku małżeńskiego oraz ukończenia przez dziecko 18 roku życia. W pozostałych przypadkach mają zastosowanie zapisy OWU dotyczące okresów karencji z wyłączeniem ryzyk związanych z następstwami nieszczęśliwych wypadków (obowiązuje pełne zniesienie karencji na zdarzenia będące następstwami NW)</w:t>
      </w:r>
      <w:r w:rsidR="00690F04">
        <w:t>.</w:t>
      </w:r>
    </w:p>
    <w:p w:rsidR="00690F04" w:rsidRPr="00690F04" w:rsidRDefault="00690F04" w:rsidP="00690F04">
      <w:pPr>
        <w:pStyle w:val="Akapitzlist"/>
        <w:jc w:val="both"/>
      </w:pPr>
    </w:p>
    <w:p w:rsidR="00FF0F56" w:rsidRPr="00690F04" w:rsidRDefault="00FF0F56" w:rsidP="00690F04">
      <w:pPr>
        <w:pStyle w:val="Akapitzlist"/>
        <w:numPr>
          <w:ilvl w:val="0"/>
          <w:numId w:val="2"/>
        </w:numPr>
        <w:jc w:val="both"/>
        <w:rPr>
          <w:b/>
        </w:rPr>
      </w:pPr>
      <w:r w:rsidRPr="00690F04">
        <w:rPr>
          <w:b/>
        </w:rPr>
        <w:t>Składka ubezpieczeniowa</w:t>
      </w:r>
    </w:p>
    <w:p w:rsidR="00FF0F56" w:rsidRPr="00690F04" w:rsidRDefault="00FF0F56" w:rsidP="00690F04">
      <w:pPr>
        <w:pStyle w:val="Akapitzlist"/>
        <w:numPr>
          <w:ilvl w:val="1"/>
          <w:numId w:val="2"/>
        </w:numPr>
        <w:jc w:val="both"/>
      </w:pPr>
      <w:r w:rsidRPr="00690F04">
        <w:t>Składka za pracowników opłacana będzie z ich wynagrodzeń w postaci jednego przelewu, za pośrednictwem Zamawiającego</w:t>
      </w:r>
    </w:p>
    <w:p w:rsidR="00FF0F56" w:rsidRPr="00690F04" w:rsidRDefault="00FF0F56" w:rsidP="00690F04">
      <w:pPr>
        <w:pStyle w:val="Akapitzlist"/>
        <w:numPr>
          <w:ilvl w:val="1"/>
          <w:numId w:val="2"/>
        </w:numPr>
        <w:jc w:val="both"/>
      </w:pPr>
      <w:r w:rsidRPr="00690F04">
        <w:t>Składka za małżonków, pełnoletnie dzieci oraz partnerów życiowych opłacana będzie przez pracowników z ich wynagrodze</w:t>
      </w:r>
      <w:r w:rsidR="008C3D5C" w:rsidRPr="00690F04">
        <w:t xml:space="preserve">nia netto </w:t>
      </w:r>
      <w:r w:rsidRPr="00690F04">
        <w:t xml:space="preserve"> za pośrednictwem zamawiającego</w:t>
      </w:r>
      <w:r w:rsidR="008C3D5C" w:rsidRPr="00690F04">
        <w:t xml:space="preserve"> na wskazane konto przez Wykonawcę</w:t>
      </w:r>
    </w:p>
    <w:p w:rsidR="00FF0F56" w:rsidRPr="00690F04" w:rsidRDefault="00FF0F56" w:rsidP="00690F04">
      <w:pPr>
        <w:pStyle w:val="Akapitzlist"/>
        <w:numPr>
          <w:ilvl w:val="1"/>
          <w:numId w:val="2"/>
        </w:numPr>
        <w:jc w:val="both"/>
        <w:rPr>
          <w:b/>
        </w:rPr>
      </w:pPr>
      <w:r w:rsidRPr="00690F04">
        <w:rPr>
          <w:b/>
        </w:rPr>
        <w:t xml:space="preserve">Częstotliwość płatności składki : miesięczna </w:t>
      </w:r>
    </w:p>
    <w:p w:rsidR="00FF0F56" w:rsidRPr="00690F04" w:rsidRDefault="00FF0F56" w:rsidP="00690F04">
      <w:pPr>
        <w:pStyle w:val="Akapitzlist"/>
        <w:numPr>
          <w:ilvl w:val="1"/>
          <w:numId w:val="2"/>
        </w:numPr>
        <w:jc w:val="both"/>
        <w:rPr>
          <w:b/>
        </w:rPr>
      </w:pPr>
      <w:r w:rsidRPr="00690F04">
        <w:t>Składka będzie podlegać ocenie zgodnie z Kryteriami Oceny Ofert</w:t>
      </w:r>
    </w:p>
    <w:p w:rsidR="00FF0F56" w:rsidRPr="00690F04" w:rsidRDefault="009E0347" w:rsidP="00690F04">
      <w:pPr>
        <w:ind w:firstLine="360"/>
        <w:jc w:val="both"/>
        <w:rPr>
          <w:b/>
        </w:rPr>
      </w:pPr>
      <w:r w:rsidRPr="00690F04">
        <w:rPr>
          <w:b/>
        </w:rPr>
        <w:t>II</w:t>
      </w:r>
      <w:r w:rsidR="00690F04">
        <w:rPr>
          <w:b/>
        </w:rPr>
        <w:t>.</w:t>
      </w:r>
      <w:r w:rsidRPr="00690F04">
        <w:rPr>
          <w:b/>
        </w:rPr>
        <w:t xml:space="preserve">        Warianty ubezpieczenia </w:t>
      </w:r>
    </w:p>
    <w:p w:rsidR="008C3D5C" w:rsidRPr="00690F04" w:rsidRDefault="009E0347" w:rsidP="00690F04">
      <w:pPr>
        <w:pStyle w:val="Akapitzlist"/>
        <w:numPr>
          <w:ilvl w:val="0"/>
          <w:numId w:val="3"/>
        </w:numPr>
        <w:jc w:val="both"/>
      </w:pPr>
      <w:r w:rsidRPr="00690F04">
        <w:t xml:space="preserve">Ubezpieczenie będzie się składać z </w:t>
      </w:r>
      <w:r w:rsidR="008C3D5C" w:rsidRPr="00690F04">
        <w:t>II</w:t>
      </w:r>
      <w:r w:rsidR="009D6D46">
        <w:t>I</w:t>
      </w:r>
      <w:r w:rsidR="00A15AA4">
        <w:t xml:space="preserve"> </w:t>
      </w:r>
      <w:r w:rsidRPr="00690F04">
        <w:t xml:space="preserve">Wariantów różniących się zakresem, wysokością świadczeń wypłacanych z tytułu objętych ochroną zdarzeń </w:t>
      </w:r>
      <w:r w:rsidR="00EF243A" w:rsidRPr="00690F04">
        <w:t>oraz składką</w:t>
      </w:r>
      <w:r w:rsidRPr="00690F04">
        <w:t>.</w:t>
      </w:r>
      <w:r w:rsidR="008C3D5C" w:rsidRPr="00690F04">
        <w:t xml:space="preserve"> Zamawiający szacuję składkę ubezpieczenia na 1 osobę w wysokości nie większej</w:t>
      </w:r>
    </w:p>
    <w:p w:rsidR="009E0347" w:rsidRPr="00690F04" w:rsidRDefault="008C3D5C" w:rsidP="00690F04">
      <w:pPr>
        <w:pStyle w:val="Akapitzlist"/>
        <w:jc w:val="both"/>
      </w:pPr>
      <w:r w:rsidRPr="00690F04">
        <w:t xml:space="preserve"> niż   </w:t>
      </w:r>
      <w:r w:rsidR="00E423F6" w:rsidRPr="00690F04">
        <w:t>54</w:t>
      </w:r>
      <w:r w:rsidR="00A67211" w:rsidRPr="00690F04">
        <w:t>,00zł</w:t>
      </w:r>
      <w:r w:rsidRPr="00690F04">
        <w:t xml:space="preserve">       dla Wariantu I,</w:t>
      </w:r>
    </w:p>
    <w:p w:rsidR="008C3D5C" w:rsidRPr="00690F04" w:rsidRDefault="008C3D5C" w:rsidP="00690F04">
      <w:pPr>
        <w:pStyle w:val="Akapitzlist"/>
        <w:jc w:val="both"/>
      </w:pPr>
      <w:r w:rsidRPr="00690F04">
        <w:t xml:space="preserve"> niż    </w:t>
      </w:r>
      <w:r w:rsidR="00E423F6" w:rsidRPr="00690F04">
        <w:t>65</w:t>
      </w:r>
      <w:r w:rsidR="00A67211" w:rsidRPr="00690F04">
        <w:t>,00zł</w:t>
      </w:r>
      <w:r w:rsidRPr="00690F04">
        <w:t xml:space="preserve">       dla Wariantu II,</w:t>
      </w:r>
    </w:p>
    <w:p w:rsidR="00E423F6" w:rsidRPr="00690F04" w:rsidRDefault="00E423F6" w:rsidP="00690F04">
      <w:pPr>
        <w:pStyle w:val="Akapitzlist"/>
        <w:jc w:val="both"/>
      </w:pPr>
      <w:r w:rsidRPr="00690F04">
        <w:t xml:space="preserve"> niż    80</w:t>
      </w:r>
      <w:r w:rsidR="00A67211" w:rsidRPr="00690F04">
        <w:t>,00zł</w:t>
      </w:r>
      <w:r w:rsidRPr="00690F04">
        <w:t xml:space="preserve">       dla Wariantu III,</w:t>
      </w:r>
    </w:p>
    <w:p w:rsidR="009E0347" w:rsidRPr="00690F04" w:rsidRDefault="009E0347" w:rsidP="00690F04">
      <w:pPr>
        <w:pStyle w:val="Akapitzlist"/>
        <w:numPr>
          <w:ilvl w:val="0"/>
          <w:numId w:val="3"/>
        </w:numPr>
        <w:jc w:val="both"/>
      </w:pPr>
      <w:r w:rsidRPr="00690F04">
        <w:t>Każdy z uprawnionych dokonuje swobodnego wyboru jednego Wariantu, w ramach którego chce być ubezpieczony. W zależności od wybranego Wariantu ubezpieczenia, pracownik wyraża zgodę na potrącanie przez Zamawiającego odpowiedniej wysokości składki z comiesięcznego wynagrodzenia.</w:t>
      </w:r>
    </w:p>
    <w:p w:rsidR="009E0347" w:rsidRPr="00690F04" w:rsidRDefault="009E0347" w:rsidP="00690F04">
      <w:pPr>
        <w:pStyle w:val="Akapitzlist"/>
        <w:numPr>
          <w:ilvl w:val="0"/>
          <w:numId w:val="3"/>
        </w:numPr>
        <w:jc w:val="both"/>
      </w:pPr>
      <w:r w:rsidRPr="00690F04">
        <w:t>Prawo przystąpienia do ubezpieczenia, na warunkach zaproponowanych przez Wykonawcę dla pracowników, będą mieli małżonek/partner życiowy oraz pełnoletnie dziecko pracownika. Osoby te mają prawo wyboru dowolnego Wariantu ubezpieczenia, niezależnie od Wariantu do które</w:t>
      </w:r>
      <w:r w:rsidR="00EF243A" w:rsidRPr="00690F04">
        <w:t>go</w:t>
      </w:r>
      <w:r w:rsidRPr="00690F04">
        <w:t xml:space="preserve"> przystąpi pracownik Zamawiającego.</w:t>
      </w:r>
    </w:p>
    <w:p w:rsidR="009E0347" w:rsidRPr="00690F04" w:rsidRDefault="009E0347" w:rsidP="00690F04">
      <w:pPr>
        <w:pStyle w:val="Akapitzlist"/>
        <w:numPr>
          <w:ilvl w:val="0"/>
          <w:numId w:val="3"/>
        </w:numPr>
        <w:jc w:val="both"/>
      </w:pPr>
      <w:r w:rsidRPr="00690F04">
        <w:t>Wykonawca zobowiązany jest do utrzymania Wariantów w niezmienionym kształcie do końca okresu ubezpieczenia niezależnie od późniejszych zmian w liczebności uczestników w poszczególnych Wariantach</w:t>
      </w:r>
      <w:r w:rsidR="008C3D5C" w:rsidRPr="00690F04">
        <w:t>.</w:t>
      </w:r>
    </w:p>
    <w:p w:rsidR="008C3D5C" w:rsidRPr="00690F04" w:rsidRDefault="008C3D5C" w:rsidP="00690F04">
      <w:pPr>
        <w:pStyle w:val="Akapitzlist"/>
        <w:numPr>
          <w:ilvl w:val="0"/>
          <w:numId w:val="3"/>
        </w:numPr>
        <w:jc w:val="both"/>
      </w:pPr>
      <w:r w:rsidRPr="00690F04">
        <w:t>Zamawiający akceptuję odmienną treść definicji, o ile nie zawęża ona zakresu ochrony i uprawnień Ubezpieczonych w stosunku do założeń SIWZ</w:t>
      </w:r>
    </w:p>
    <w:p w:rsidR="00EF243A" w:rsidRPr="00690F04" w:rsidRDefault="00EF243A" w:rsidP="00690F04">
      <w:pPr>
        <w:ind w:firstLine="360"/>
        <w:jc w:val="both"/>
      </w:pPr>
    </w:p>
    <w:p w:rsidR="00EF243A" w:rsidRPr="00690F04" w:rsidRDefault="00EF243A" w:rsidP="00690F04">
      <w:pPr>
        <w:ind w:firstLine="360"/>
        <w:jc w:val="both"/>
        <w:rPr>
          <w:b/>
        </w:rPr>
      </w:pPr>
      <w:r w:rsidRPr="00690F04">
        <w:rPr>
          <w:b/>
        </w:rPr>
        <w:t>III</w:t>
      </w:r>
      <w:r w:rsidR="00690F04">
        <w:rPr>
          <w:b/>
        </w:rPr>
        <w:t>.</w:t>
      </w:r>
      <w:r w:rsidR="00690F04">
        <w:rPr>
          <w:b/>
        </w:rPr>
        <w:tab/>
      </w:r>
      <w:r w:rsidRPr="00690F04">
        <w:rPr>
          <w:b/>
        </w:rPr>
        <w:t xml:space="preserve"> Definicje</w:t>
      </w:r>
    </w:p>
    <w:p w:rsidR="00EF243A" w:rsidRPr="00690F04" w:rsidRDefault="00EF243A" w:rsidP="00690F04">
      <w:pPr>
        <w:pStyle w:val="Akapitzlist"/>
        <w:numPr>
          <w:ilvl w:val="0"/>
          <w:numId w:val="6"/>
        </w:numPr>
        <w:ind w:left="709" w:hanging="349"/>
        <w:jc w:val="both"/>
      </w:pPr>
      <w:r w:rsidRPr="00690F04">
        <w:t>Pracownik Zamawiającego – to osoba zatrudniona na podstawie umowy o pracę, powołania, mianowania, wyboru, spółdzielczej umowy o pracę, kontraktu menedżerskiego, lub innej umowy cywilno-prawnej w szczególności – zlecenia, umowy o dzieło, której przedmiotem jest świadczenie pracy na rzecz zamawiającego</w:t>
      </w:r>
    </w:p>
    <w:p w:rsidR="00EF243A" w:rsidRPr="00690F04" w:rsidRDefault="00EF243A" w:rsidP="00690F04">
      <w:pPr>
        <w:pStyle w:val="Akapitzlist"/>
        <w:numPr>
          <w:ilvl w:val="0"/>
          <w:numId w:val="6"/>
        </w:numPr>
        <w:ind w:left="709" w:hanging="349"/>
        <w:jc w:val="both"/>
      </w:pPr>
      <w:r w:rsidRPr="00690F04">
        <w:lastRenderedPageBreak/>
        <w:t>Małżonek – to osoba pozostająca z ubezpieczonym w związku małżeńskim w stosunku do którego nie została orzeczona separacja zgodnie z obowiązującymi przepisami prawa. Za małżonka Wykonawca winien uznać także konkubina/konkubenta, a także partnera życiowego w przypadku związku osób tej samej płci.</w:t>
      </w:r>
    </w:p>
    <w:p w:rsidR="00EF243A" w:rsidRPr="00690F04" w:rsidRDefault="00EF243A" w:rsidP="00690F04">
      <w:pPr>
        <w:pStyle w:val="Akapitzlist"/>
        <w:numPr>
          <w:ilvl w:val="0"/>
          <w:numId w:val="6"/>
        </w:numPr>
        <w:ind w:left="709" w:hanging="349"/>
        <w:jc w:val="both"/>
      </w:pPr>
      <w:r w:rsidRPr="00690F04">
        <w:t>Zamawiający/Ubezpieczający – Szpital Powiatowy w Zawierciu, który zawiera umowę dobrowolnego grupowego ubezpieczenia na życie w imieniu ubezpieczonych i przekazuje składki ubezpieczeniowe na rzecz Wykonawcy.</w:t>
      </w:r>
    </w:p>
    <w:p w:rsidR="00EF243A" w:rsidRPr="00690F04" w:rsidRDefault="00EF243A" w:rsidP="00690F04">
      <w:pPr>
        <w:pStyle w:val="Akapitzlist"/>
        <w:numPr>
          <w:ilvl w:val="0"/>
          <w:numId w:val="6"/>
        </w:numPr>
        <w:ind w:left="709" w:hanging="349"/>
        <w:jc w:val="both"/>
      </w:pPr>
      <w:r w:rsidRPr="00690F04">
        <w:t>Ubezpieczony – osoba fizyczna, pracownik zamawiającego, współmałżonek, konkubent/konkubina, partner życiowy lub pełnoletnie dziecko pracownika.</w:t>
      </w:r>
    </w:p>
    <w:p w:rsidR="00EF243A" w:rsidRPr="00690F04" w:rsidRDefault="00EF243A" w:rsidP="00690F04">
      <w:pPr>
        <w:pStyle w:val="Akapitzlist"/>
        <w:numPr>
          <w:ilvl w:val="0"/>
          <w:numId w:val="6"/>
        </w:numPr>
        <w:ind w:left="709" w:hanging="349"/>
        <w:jc w:val="both"/>
      </w:pPr>
      <w:r w:rsidRPr="00690F04">
        <w:t>Partner życiowy – osoba tej samej płci co ubezpieczony, nie pozostająca w formalnym związku małżeńskim, niespokrewniona z pracownikiem, prowadząca z ubezpieczonym wspólne gospodarstwo domowe i nie pozostająca w związku małżeńskim z osobą trzecią. Wskazanie partnera życiowego następuje wyłącznie raz w roku polisowym</w:t>
      </w:r>
    </w:p>
    <w:p w:rsidR="00EF243A" w:rsidRPr="00690F04" w:rsidRDefault="00EF243A" w:rsidP="00690F04">
      <w:pPr>
        <w:pStyle w:val="Akapitzlist"/>
        <w:numPr>
          <w:ilvl w:val="0"/>
          <w:numId w:val="6"/>
        </w:numPr>
        <w:ind w:left="709" w:hanging="349"/>
        <w:jc w:val="both"/>
      </w:pPr>
      <w:r w:rsidRPr="00690F04">
        <w:t xml:space="preserve">Konkubina/Konkubent – osoba </w:t>
      </w:r>
      <w:r w:rsidR="00C3783A" w:rsidRPr="00690F04">
        <w:t>płci przeciwnej w stosunku do Ubezpieczonego pozostająca w związku poza małżeńskim, nieformalnym z Ubezpieczonym, zgłoszona do ubezpieczenia Deklaracji Przystąpienia do ubezpieczenia, nie spokrewniona z Ubezpieczonym, prowadzona z Ubezpieczonym wspólne gospodarstwo domowe, nie pozostająca w związku małżeńskim z osobą trzecią, o ile Ubezpieczony w chwili składania stosownych oświadczeń o konkubinacie, a także w dniu zajścia zdarzenia nie pozostaje/wał w związku małżeńskim. Ubezpieczony może wskazać Konkubinę/Konkubenta wyłącznie raz w roku polisowym, wskazanie Konkubiny/Konkubenta obowiązuje od pierwszego dnia miesiąca następującego po miesiącu, w którym dokonano wskazania.</w:t>
      </w:r>
    </w:p>
    <w:p w:rsidR="00EF243A" w:rsidRPr="00690F04" w:rsidRDefault="00EF243A" w:rsidP="00690F04">
      <w:pPr>
        <w:pStyle w:val="Akapitzlist"/>
        <w:numPr>
          <w:ilvl w:val="0"/>
          <w:numId w:val="6"/>
        </w:numPr>
        <w:ind w:left="709" w:hanging="349"/>
        <w:jc w:val="both"/>
      </w:pPr>
      <w:r w:rsidRPr="00690F04">
        <w:t>Pełnoletnie dziecko pracownika – dziecko własne pracownika lub dziecko przysposobione przez pracownika, które w dniu zawarcia umowy ubezpieczenia na jego rzecz miało ukończony 18 rok życia</w:t>
      </w:r>
      <w:r w:rsidR="00026E63" w:rsidRPr="00690F04">
        <w:t>.</w:t>
      </w:r>
    </w:p>
    <w:p w:rsidR="00026E63" w:rsidRPr="00690F04" w:rsidRDefault="00026E63" w:rsidP="00690F04">
      <w:pPr>
        <w:pStyle w:val="Akapitzlist"/>
        <w:numPr>
          <w:ilvl w:val="0"/>
          <w:numId w:val="6"/>
        </w:numPr>
        <w:ind w:left="709" w:hanging="349"/>
        <w:jc w:val="both"/>
      </w:pPr>
      <w:r w:rsidRPr="00690F04">
        <w:t>Dziecko – dziecko własne pracownika lub przysposobione, a także pasierbów ubezpieczonego. Ochrona ubezpieczeniowa obejmuje dzieci od urodzenia do ukończenia przez dziecko 25 roku życia lub bez względu na wiek w razie całkowitej niezdolności dziecka do pracy. Niezdolność do pracy powinna zostać orzeczona przez odpowiedni organ rentowy.</w:t>
      </w:r>
    </w:p>
    <w:p w:rsidR="002B51F6" w:rsidRPr="00690F04" w:rsidRDefault="002B51F6" w:rsidP="00690F04">
      <w:pPr>
        <w:pStyle w:val="Akapitzlist"/>
        <w:numPr>
          <w:ilvl w:val="0"/>
          <w:numId w:val="6"/>
        </w:numPr>
        <w:ind w:left="709" w:hanging="349"/>
        <w:jc w:val="both"/>
      </w:pPr>
      <w:r w:rsidRPr="00690F04">
        <w:t>Deklaracja zgody – oświadczenie woli osoby przystępującej do ubezpieczenia złożone w formie pisemnej</w:t>
      </w:r>
      <w:r w:rsidR="00C3783A" w:rsidRPr="00690F04">
        <w:t>. Początek odpowiedzialności Wykonawcy względem Ubezpieczonego następuje pierwszego dnia miesiąca następującego po miesiącu, w którym Ubezpieczony złożył deklarację przystąpienia</w:t>
      </w:r>
    </w:p>
    <w:p w:rsidR="002B51F6" w:rsidRPr="00690F04" w:rsidRDefault="002B51F6" w:rsidP="00690F04">
      <w:pPr>
        <w:pStyle w:val="Akapitzlist"/>
        <w:numPr>
          <w:ilvl w:val="0"/>
          <w:numId w:val="6"/>
        </w:numPr>
        <w:ind w:left="709" w:hanging="349"/>
        <w:jc w:val="both"/>
      </w:pPr>
      <w:r w:rsidRPr="00690F04">
        <w:t>Deklaracja zmian – pisemna deklaracja ubezpieczonego o zmianie danych podanych Wykonawcy w deklaracji zgody</w:t>
      </w:r>
    </w:p>
    <w:p w:rsidR="002B51F6" w:rsidRPr="00690F04" w:rsidRDefault="002B51F6" w:rsidP="00690F04">
      <w:pPr>
        <w:pStyle w:val="Akapitzlist"/>
        <w:numPr>
          <w:ilvl w:val="0"/>
          <w:numId w:val="6"/>
        </w:numPr>
        <w:ind w:left="709" w:hanging="349"/>
        <w:jc w:val="both"/>
      </w:pPr>
      <w:r w:rsidRPr="00690F04">
        <w:t xml:space="preserve">Umowa ubezpieczenia – umowa zawarta pomiędzy </w:t>
      </w:r>
      <w:r w:rsidR="00D46D45">
        <w:t>Z</w:t>
      </w:r>
      <w:r w:rsidRPr="00690F04">
        <w:t>amawiającym, a Wykonawcą/Ubezpieczycielem na rzecz ubezpieczonych</w:t>
      </w:r>
    </w:p>
    <w:p w:rsidR="002B51F6" w:rsidRPr="00690F04" w:rsidRDefault="002B51F6" w:rsidP="00690F04">
      <w:pPr>
        <w:pStyle w:val="Akapitzlist"/>
        <w:numPr>
          <w:ilvl w:val="0"/>
          <w:numId w:val="6"/>
        </w:numPr>
        <w:ind w:left="709" w:hanging="349"/>
        <w:jc w:val="both"/>
      </w:pPr>
      <w:r w:rsidRPr="00690F04">
        <w:t>Świadczenie ubezpieczeniowe – kwota pieniężna, którą Wykonawca wypłaca w przypadku zajścia zdarzenia przewidzianego w umowie ubezpieczenia</w:t>
      </w:r>
    </w:p>
    <w:p w:rsidR="00026E63" w:rsidRPr="00690F04" w:rsidRDefault="00C012FF" w:rsidP="00690F04">
      <w:pPr>
        <w:pStyle w:val="Akapitzlist"/>
        <w:numPr>
          <w:ilvl w:val="0"/>
          <w:numId w:val="6"/>
        </w:numPr>
        <w:ind w:left="709" w:hanging="349"/>
        <w:jc w:val="both"/>
      </w:pPr>
      <w:r w:rsidRPr="00690F04">
        <w:t xml:space="preserve">Zgon ubezpieczonego – ubezpieczenie obejmuje </w:t>
      </w:r>
      <w:r w:rsidR="00537766">
        <w:t>ś</w:t>
      </w:r>
      <w:r w:rsidRPr="00690F04">
        <w:t>mierć ubezpieczonego  w okresie odpowiedzialności Wykonawcy niezależnie od przyczyny</w:t>
      </w:r>
    </w:p>
    <w:p w:rsidR="00C012FF" w:rsidRPr="00690F04" w:rsidRDefault="00C012FF" w:rsidP="00690F04">
      <w:pPr>
        <w:pStyle w:val="Akapitzlist"/>
        <w:numPr>
          <w:ilvl w:val="0"/>
          <w:numId w:val="6"/>
        </w:numPr>
        <w:ind w:left="709" w:hanging="349"/>
        <w:jc w:val="both"/>
      </w:pPr>
      <w:r w:rsidRPr="00690F04">
        <w:t>Zgon ubezpieczonego w wyniku nieszczęśliwego wypadku – ubezpieczenie obejmuje śmierć ubezpieczonego w okresie odpowiedzialności Wykonawcy spowodowaną nieszczęśliwym wypadkiem</w:t>
      </w:r>
      <w:r w:rsidR="008C3D5C" w:rsidRPr="00690F04">
        <w:t xml:space="preserve"> (zakres terytorialny – z uwzględnieniem krajów należących do UE oraz Australii, Islandii, Japonii, Kanady, Maroko, Norwegii, Nowej Zelandii, USA, Szwajcarii )</w:t>
      </w:r>
      <w:r w:rsidRPr="00690F04">
        <w:t>.</w:t>
      </w:r>
    </w:p>
    <w:p w:rsidR="00C012FF" w:rsidRPr="00690F04" w:rsidRDefault="00C012FF" w:rsidP="00690F04">
      <w:pPr>
        <w:pStyle w:val="Akapitzlist"/>
        <w:numPr>
          <w:ilvl w:val="0"/>
          <w:numId w:val="6"/>
        </w:numPr>
        <w:ind w:left="709" w:hanging="349"/>
        <w:jc w:val="both"/>
      </w:pPr>
      <w:r w:rsidRPr="00690F04">
        <w:t>Zgon ubezpieczonego w wyniku wypadku komunikacyjnego – ubezpieczenie obejmuje śmierć ubezpieczonego w okresie odpowiedzialności Wykonawcy spowodowaną nieszczęśliwym wypadkiem komunikacyjnym</w:t>
      </w:r>
      <w:r w:rsidR="008C3D5C" w:rsidRPr="00690F04">
        <w:t xml:space="preserve"> (zakres terytorialny – z uwzględnieniem krajów należących do </w:t>
      </w:r>
      <w:r w:rsidR="008C3D5C" w:rsidRPr="00690F04">
        <w:lastRenderedPageBreak/>
        <w:t>UE oraz Australii, Islandii, Japonii, Kanady, Maroko, Norwegii, Nowej Zelandii, USA, Szwajcarii).</w:t>
      </w:r>
    </w:p>
    <w:p w:rsidR="00C012FF" w:rsidRPr="00690F04" w:rsidRDefault="00C012FF" w:rsidP="00690F04">
      <w:pPr>
        <w:pStyle w:val="Akapitzlist"/>
        <w:numPr>
          <w:ilvl w:val="0"/>
          <w:numId w:val="6"/>
        </w:numPr>
        <w:ind w:left="709" w:hanging="349"/>
        <w:jc w:val="both"/>
      </w:pPr>
      <w:r w:rsidRPr="00690F04">
        <w:t>Wypadek komunikacyjny – nieszczęśliwy wypadek:</w:t>
      </w:r>
    </w:p>
    <w:p w:rsidR="00C012FF" w:rsidRPr="00690F04" w:rsidRDefault="00C012FF" w:rsidP="00690F04">
      <w:pPr>
        <w:pStyle w:val="Akapitzlist"/>
        <w:ind w:left="709" w:hanging="1"/>
        <w:jc w:val="both"/>
      </w:pPr>
      <w:r w:rsidRPr="00690F04">
        <w:t>a) wywołany ruchem pojazdów na drodze, w którym ubezpieczony brał udział jako uczestnik ruchu (w tym również jako rowerzysta, pieszy) bądź kierowca, z tym że „pojazd”, „droga”, „uczestnik ruchu” i „kierowca” rozumiane są zgodnie ze znaczeniem nadanym przez obowiązujące przepisy prawa o ruchu drogowym; pojazdem jest również tramwaj,</w:t>
      </w:r>
    </w:p>
    <w:p w:rsidR="00C012FF" w:rsidRPr="00690F04" w:rsidRDefault="00C012FF" w:rsidP="00690F04">
      <w:pPr>
        <w:pStyle w:val="Akapitzlist"/>
        <w:ind w:left="709" w:hanging="1"/>
        <w:jc w:val="both"/>
      </w:pPr>
      <w:r w:rsidRPr="00690F04">
        <w:t>b) wywołany ruchem pojazdu kolejowego ciągniętego przez pojazd trakcyjny, w którym ubezpieczony brał udział jako pasażer albo członek załogi tego pojazdu, z tym że:</w:t>
      </w:r>
    </w:p>
    <w:p w:rsidR="00C012FF" w:rsidRPr="00690F04" w:rsidRDefault="00C012FF" w:rsidP="00690F04">
      <w:pPr>
        <w:pStyle w:val="Akapitzlist"/>
        <w:ind w:left="709" w:hanging="1"/>
        <w:jc w:val="both"/>
      </w:pPr>
      <w:r w:rsidRPr="00690F04">
        <w:t>- pojazd kolejowy oznacza pojazd dostosowany do poruszania się na własnych kołach po torach kolejowych,</w:t>
      </w:r>
    </w:p>
    <w:p w:rsidR="00C012FF" w:rsidRPr="00690F04" w:rsidRDefault="00C012FF" w:rsidP="00690F04">
      <w:pPr>
        <w:pStyle w:val="Akapitzlist"/>
        <w:ind w:left="709" w:hanging="1"/>
        <w:jc w:val="both"/>
      </w:pPr>
      <w:r w:rsidRPr="00690F04">
        <w:t>- pojazd trakcyjny oznacza pojazd kolejowy z napędem własnym, w tym metro,</w:t>
      </w:r>
    </w:p>
    <w:p w:rsidR="00C012FF" w:rsidRPr="00690F04" w:rsidRDefault="00C012FF" w:rsidP="00690F04">
      <w:pPr>
        <w:pStyle w:val="Akapitzlist"/>
        <w:ind w:left="709" w:hanging="1"/>
        <w:jc w:val="both"/>
      </w:pPr>
      <w:r w:rsidRPr="00690F04">
        <w:t>wypadkiem komunikacyjnym, w rozumieniu pkt. b, nie są wypadki dotyczące kolejowego transportu wewnątrzzakładowego oraz transportu linowego i linowo-terenowego,</w:t>
      </w:r>
    </w:p>
    <w:p w:rsidR="00C012FF" w:rsidRPr="00690F04" w:rsidRDefault="00C012FF" w:rsidP="00690F04">
      <w:pPr>
        <w:pStyle w:val="Akapitzlist"/>
        <w:ind w:left="709" w:hanging="1"/>
        <w:jc w:val="both"/>
      </w:pPr>
      <w:r w:rsidRPr="00690F04">
        <w:t>c) wywołany eksploatacją pasażerskiego statku powietrznego koncesjonowanych linii lotniczych, który zaistniał od chwili, gdy jakakolwiek osoba weszła na jego pokład z zamiarem wykonania lotu, do chwili opuszczenia pokładu statku powietrznego przez wszystkie osoby znajdujące się na nim, a statek powietrzny został uszkodzony lub nastąpiło zniszczenie jego konstrukcji albo statek powietrzny zaginął i nie został odnaleziony, a urzędowe jego poszukiwania zostały odwołane lub statek powietrzny znajduje się w miejscu, do którego dostęp nie jest możliwy,</w:t>
      </w:r>
    </w:p>
    <w:p w:rsidR="00C012FF" w:rsidRPr="00690F04" w:rsidRDefault="00C012FF" w:rsidP="00690F04">
      <w:pPr>
        <w:pStyle w:val="Akapitzlist"/>
        <w:ind w:left="709" w:hanging="1"/>
        <w:jc w:val="both"/>
      </w:pPr>
      <w:r w:rsidRPr="00690F04">
        <w:t>d) wywołany ruchem statku, w którym ubezpieczony brał udział jako członek załogi bądź pasażer, a statek zatonął albo został uszkodzony lub nastąpiło zniszczenie jego konstrukcji albo statek zaginął i nie został odnaleziony, a urzędowe jego poszukiwania zostały odwołane lub statek znajduje się w miejscu, do którego dostęp nie jest możliwy</w:t>
      </w:r>
    </w:p>
    <w:p w:rsidR="002B51F6" w:rsidRPr="00690F04" w:rsidRDefault="002B51F6" w:rsidP="00690F04">
      <w:pPr>
        <w:pStyle w:val="Akapitzlist"/>
        <w:numPr>
          <w:ilvl w:val="0"/>
          <w:numId w:val="6"/>
        </w:numPr>
        <w:ind w:left="709"/>
        <w:jc w:val="both"/>
      </w:pPr>
      <w:r w:rsidRPr="00690F04">
        <w:t>Osierocenie dziecka – zgon ubezpieczonego, który nastąpił przed dniem ukończenia przez dziecko 25 roku życia</w:t>
      </w:r>
      <w:r w:rsidR="00C3783A" w:rsidRPr="00690F04">
        <w:t xml:space="preserve"> lub bez względu na wiek jeżeli w stosunku do danego dziecka orzeczono całkowitą niezdolność do pracy, co zostanie potwierdzone stosownym orzeczeniem właściwego organu rentowego</w:t>
      </w:r>
    </w:p>
    <w:p w:rsidR="002B51F6" w:rsidRPr="00690F04" w:rsidRDefault="002B51F6" w:rsidP="00690F04">
      <w:pPr>
        <w:pStyle w:val="Akapitzlist"/>
        <w:numPr>
          <w:ilvl w:val="0"/>
          <w:numId w:val="6"/>
        </w:numPr>
        <w:ind w:left="709"/>
        <w:jc w:val="both"/>
      </w:pPr>
      <w:r w:rsidRPr="00690F04">
        <w:t>Trwały uszczerbek na zdrowiu spowodowany nieszczęśliwym wypadkiem – zaburzenie czynności uszkodzonego organu, narządu lub układu będący następstwem wypadku, któremu ubezpieczony uległ w okresie odpowiedzialności ubezpieczyciela, powodującej jego trwałą dysfunkcję</w:t>
      </w:r>
    </w:p>
    <w:p w:rsidR="00080B18" w:rsidRPr="00690F04" w:rsidRDefault="002B51F6" w:rsidP="00690F04">
      <w:pPr>
        <w:pStyle w:val="Akapitzlist"/>
        <w:numPr>
          <w:ilvl w:val="0"/>
          <w:numId w:val="6"/>
        </w:numPr>
        <w:ind w:left="709"/>
        <w:jc w:val="both"/>
      </w:pPr>
      <w:r w:rsidRPr="00690F04">
        <w:t xml:space="preserve">Trwały uszczerbek na zdrowiu spowodowany udarem mózgu lub zawałem serca  - </w:t>
      </w:r>
      <w:r w:rsidR="00080B18" w:rsidRPr="00690F04">
        <w:t xml:space="preserve"> zaburzenie czynności uszkodzonego organu, narządu lub układu będące następstwem zawału serca lub udaru mózgu, przebytych przez ubezpieczonego w okresie odpowiedzialności ubezpieczyciela powodujące jego trwałą dysfunkcję.</w:t>
      </w:r>
    </w:p>
    <w:p w:rsidR="00080B18" w:rsidRPr="00690F04" w:rsidRDefault="00080B18" w:rsidP="00690F04">
      <w:pPr>
        <w:pStyle w:val="Akapitzlist"/>
        <w:numPr>
          <w:ilvl w:val="0"/>
          <w:numId w:val="6"/>
        </w:numPr>
        <w:ind w:left="709"/>
        <w:jc w:val="both"/>
      </w:pPr>
      <w:r w:rsidRPr="00690F04">
        <w:t xml:space="preserve">Niezdolność do pracy i samodzielnej egzystencji </w:t>
      </w:r>
      <w:r w:rsidR="00747EC4" w:rsidRPr="00690F04">
        <w:t>–całkowita trwała niezdolność do wykonywania jakiejkolwiek pracy zawodowej będąca następstwem nieszczęśliwego wypadku lub choroby zaistniałych w okresie odpowiedzialności Ubezpieczyciela powodujące wydanie przez właściwego lekarza orzecznika lub komisję lekarską prawomocnego orzeczenia lub decyzji organu rentowego stwierdzające niezdolność do samodzielnej egzystencji ubezpieczonego</w:t>
      </w:r>
      <w:r w:rsidR="008C3D5C" w:rsidRPr="00690F04">
        <w:t>.</w:t>
      </w:r>
    </w:p>
    <w:p w:rsidR="00C3783A" w:rsidRPr="00690F04" w:rsidRDefault="008C3D5C" w:rsidP="00690F04">
      <w:pPr>
        <w:pStyle w:val="Akapitzlist"/>
        <w:numPr>
          <w:ilvl w:val="0"/>
          <w:numId w:val="6"/>
        </w:numPr>
        <w:ind w:left="709"/>
        <w:jc w:val="both"/>
      </w:pPr>
      <w:r w:rsidRPr="00690F04">
        <w:t xml:space="preserve">Poważne zachorowanie Ubezpieczonego – Zamawiający określa minimalny katalog poważnych zachorowań Ubezpieczonego : udar mózgu, zawał mięśnia sercowego, nowotwór, niewydolność nerek, porażenia, utrata wzroku,  śpiączka, oparzenia, utrata mowy i słuchu, guz mózgu, utrata kończyn, operacja aorty, choroba Alzheimera, schyłkowa niewydolność wątroby w tym spowodowana wirusowym zapaleniem wątroby typu B lub C, operacja </w:t>
      </w:r>
      <w:r w:rsidRPr="00690F04">
        <w:lastRenderedPageBreak/>
        <w:t xml:space="preserve">zastawek serca, stwardnienie rozsiane, choroba Parkinsona, anemia plastyczna, schyłkowa niewydolność oddechowa, choroba </w:t>
      </w:r>
      <w:r w:rsidRPr="00690F04">
        <w:rPr>
          <w:rFonts w:cs="Arial-BoldMT"/>
          <w:bCs/>
        </w:rPr>
        <w:t>Creutzfeldta  –Jakoba, zakażenie HIV lub rozpoznanie AIDS w wyniku transfuzji krwi oraz w związku z wykonywanym zawodem, sepsa</w:t>
      </w:r>
      <w:r w:rsidR="0095561C" w:rsidRPr="00690F04">
        <w:rPr>
          <w:rFonts w:cs="Arial-BoldMT"/>
          <w:bCs/>
        </w:rPr>
        <w:t>, paraliż</w:t>
      </w:r>
      <w:r w:rsidRPr="00690F04">
        <w:rPr>
          <w:rFonts w:cs="Arial-BoldMT"/>
          <w:bCs/>
        </w:rPr>
        <w:t>.</w:t>
      </w:r>
    </w:p>
    <w:p w:rsidR="00747EC4" w:rsidRPr="00690F04" w:rsidRDefault="00747EC4" w:rsidP="00690F04">
      <w:pPr>
        <w:pStyle w:val="Akapitzlist"/>
        <w:ind w:left="709"/>
        <w:jc w:val="both"/>
      </w:pPr>
    </w:p>
    <w:p w:rsidR="00747EC4" w:rsidRPr="00690F04" w:rsidRDefault="00747EC4" w:rsidP="00690F04">
      <w:pPr>
        <w:ind w:left="139"/>
        <w:jc w:val="both"/>
        <w:rPr>
          <w:b/>
        </w:rPr>
      </w:pPr>
      <w:r w:rsidRPr="00690F04">
        <w:rPr>
          <w:b/>
        </w:rPr>
        <w:t>Poważne zachorowania ubezpieczonego</w:t>
      </w:r>
    </w:p>
    <w:p w:rsidR="00747EC4" w:rsidRPr="00690F04" w:rsidRDefault="00747EC4" w:rsidP="00690F04">
      <w:pPr>
        <w:ind w:left="567" w:hanging="425"/>
        <w:jc w:val="both"/>
      </w:pPr>
      <w:r w:rsidRPr="00690F04">
        <w:t>Zamawiający określa następujący minimalny katalog zachorowań ubezpieczonego:</w:t>
      </w:r>
    </w:p>
    <w:p w:rsidR="00AD1529" w:rsidRPr="00690F04" w:rsidRDefault="00AD1529" w:rsidP="00690F04">
      <w:pPr>
        <w:pStyle w:val="Akapitzlist"/>
        <w:numPr>
          <w:ilvl w:val="0"/>
          <w:numId w:val="9"/>
        </w:numPr>
        <w:autoSpaceDE w:val="0"/>
        <w:autoSpaceDN w:val="0"/>
        <w:adjustRightInd w:val="0"/>
        <w:spacing w:after="0" w:line="240" w:lineRule="auto"/>
        <w:ind w:left="567" w:hanging="425"/>
        <w:jc w:val="both"/>
      </w:pPr>
      <w:r w:rsidRPr="00690F04">
        <w:rPr>
          <w:b/>
        </w:rPr>
        <w:t>Udar mózgu-</w:t>
      </w:r>
      <w:r w:rsidRPr="00690F04">
        <w:rPr>
          <w:rFonts w:cs="StoneSansPl"/>
        </w:rPr>
        <w:t xml:space="preserve">Śmierć części mózgu w następstwie wewnątrzmózgowego krwawienia albo zakrzepu lub zatoru, który zatkał naczynie mózgowe. Udar mózgu musi prowadzić do nagłego wystąpienia trwałych i nieodwracalnych objawów ogniskowego uszkodzenia mózgu. Prawo doświadczenia ubezpieczeniowego powstaje wraz z postawieniem diagnozy przez specjalistyczny oddział neurologiczny lub lekarza neurologa, potwierdzony wynikami badań obrazowych. </w:t>
      </w:r>
    </w:p>
    <w:p w:rsidR="00AD1529" w:rsidRPr="00690F04" w:rsidRDefault="00AD1529" w:rsidP="00690F04">
      <w:pPr>
        <w:pStyle w:val="Akapitzlist"/>
        <w:autoSpaceDE w:val="0"/>
        <w:autoSpaceDN w:val="0"/>
        <w:adjustRightInd w:val="0"/>
        <w:spacing w:after="0" w:line="240" w:lineRule="auto"/>
        <w:ind w:left="567" w:hanging="425"/>
        <w:jc w:val="both"/>
      </w:pPr>
    </w:p>
    <w:p w:rsidR="00AD1529" w:rsidRPr="00690F04" w:rsidRDefault="00AD1529" w:rsidP="00690F04">
      <w:pPr>
        <w:pStyle w:val="Akapitzlist"/>
        <w:numPr>
          <w:ilvl w:val="0"/>
          <w:numId w:val="9"/>
        </w:numPr>
        <w:autoSpaceDE w:val="0"/>
        <w:autoSpaceDN w:val="0"/>
        <w:adjustRightInd w:val="0"/>
        <w:spacing w:after="0" w:line="240" w:lineRule="auto"/>
        <w:ind w:left="567" w:hanging="425"/>
        <w:jc w:val="both"/>
      </w:pPr>
      <w:r w:rsidRPr="00690F04">
        <w:rPr>
          <w:rFonts w:cs="StoneSansPl"/>
          <w:b/>
        </w:rPr>
        <w:t>Zawał mięśnia sercowego -</w:t>
      </w:r>
      <w:r w:rsidRPr="00690F04">
        <w:rPr>
          <w:rFonts w:cs="StoneSansPl"/>
        </w:rPr>
        <w:t xml:space="preserve"> Martw</w:t>
      </w:r>
      <w:r w:rsidR="00140590" w:rsidRPr="00690F04">
        <w:rPr>
          <w:rFonts w:cs="StoneSansPl"/>
        </w:rPr>
        <w:t>ica części mięśnia sercowego w n</w:t>
      </w:r>
      <w:r w:rsidRPr="00690F04">
        <w:rPr>
          <w:rFonts w:cs="StoneSansPl"/>
        </w:rPr>
        <w:t>astępstwie nagłego przerwania przepływu krwi przez jedną lub kilkatętnic wieńcowych. Diagnoza powinna w dokumentacji zawierać opis typowych bólów w klatce piersiowej, wyników badań laboratoryjnych specyficznych dla mięśnia sercowego odbiegających od wartości prawidłowych(np. troponina, CKMB) i ich typowej ewolucji w czasie oraz charakterystycznych dla ostrego zawału serca zmian EKG (nowo powstałe uniesienie lub obniżenie odcinka ST-T, odwrócenie załamka T,nowe patologiczne załamki Q lub nowo powstały blok lewej odnogi pęczka Hisa).</w:t>
      </w:r>
    </w:p>
    <w:p w:rsidR="00AD1529" w:rsidRPr="00690F04" w:rsidRDefault="00AD1529" w:rsidP="00690F04">
      <w:pPr>
        <w:pStyle w:val="Akapitzlist"/>
        <w:autoSpaceDE w:val="0"/>
        <w:autoSpaceDN w:val="0"/>
        <w:adjustRightInd w:val="0"/>
        <w:spacing w:after="0" w:line="240" w:lineRule="auto"/>
        <w:ind w:left="567" w:hanging="425"/>
        <w:jc w:val="both"/>
      </w:pPr>
    </w:p>
    <w:p w:rsidR="00AD1529" w:rsidRPr="00690F04" w:rsidRDefault="00AD1529" w:rsidP="00690F04">
      <w:pPr>
        <w:pStyle w:val="Akapitzlist"/>
        <w:numPr>
          <w:ilvl w:val="0"/>
          <w:numId w:val="9"/>
        </w:numPr>
        <w:autoSpaceDE w:val="0"/>
        <w:autoSpaceDN w:val="0"/>
        <w:adjustRightInd w:val="0"/>
        <w:spacing w:after="0" w:line="240" w:lineRule="auto"/>
        <w:ind w:left="567" w:hanging="425"/>
        <w:jc w:val="both"/>
      </w:pPr>
      <w:r w:rsidRPr="00690F04">
        <w:rPr>
          <w:b/>
        </w:rPr>
        <w:t>Nowotwór -</w:t>
      </w:r>
      <w:r w:rsidRPr="00690F04">
        <w:rPr>
          <w:rFonts w:cs="StoneSansPl"/>
        </w:rPr>
        <w:t>Choroba, której objawem jest obecność patologicznych komórek, które rozprzestrzeniają się w sposób niekontrolowany i naciekają zdrowe tkanki, a także dają przerzuty. Ochrona ubezpieczeniowa obejmuje białaczkę, złośliwe chłoniaki i zespoły mielodysplastyczne.</w:t>
      </w:r>
    </w:p>
    <w:p w:rsidR="00AD1529" w:rsidRPr="00690F04" w:rsidRDefault="00AD1529" w:rsidP="00690F04">
      <w:pPr>
        <w:pStyle w:val="Akapitzlist"/>
        <w:autoSpaceDE w:val="0"/>
        <w:autoSpaceDN w:val="0"/>
        <w:adjustRightInd w:val="0"/>
        <w:spacing w:after="0" w:line="240" w:lineRule="auto"/>
        <w:ind w:left="567" w:hanging="425"/>
        <w:jc w:val="both"/>
      </w:pPr>
    </w:p>
    <w:p w:rsidR="00AD1529" w:rsidRPr="00690F04" w:rsidRDefault="00AD1529" w:rsidP="00690F04">
      <w:pPr>
        <w:pStyle w:val="Akapitzlist"/>
        <w:numPr>
          <w:ilvl w:val="0"/>
          <w:numId w:val="9"/>
        </w:numPr>
        <w:autoSpaceDE w:val="0"/>
        <w:autoSpaceDN w:val="0"/>
        <w:adjustRightInd w:val="0"/>
        <w:spacing w:after="0" w:line="240" w:lineRule="auto"/>
        <w:ind w:left="567" w:hanging="425"/>
        <w:jc w:val="both"/>
      </w:pPr>
      <w:r w:rsidRPr="00690F04">
        <w:rPr>
          <w:rFonts w:cs="StoneSansPl"/>
          <w:b/>
        </w:rPr>
        <w:t>Niewydolność nerek -</w:t>
      </w:r>
      <w:r w:rsidRPr="00690F04">
        <w:rPr>
          <w:rFonts w:cs="StoneSansPl"/>
        </w:rPr>
        <w:t xml:space="preserve"> Nieodwracalne i równoczesne ustanie funkcji obydwu nerek wymagające stałej dializy lub przeszczepu nerki. Prawo do świadczenia ubezpieczeniowego powstaje z upływem 30 dnia życia Ubezpieczonego licząc od dnia rozpoczęcia regularnej dializoterapii lub od dnia dokonania przeszczepu nerki. Ochrona ubezpieczeniowa nie obowiązuje w przypadku ostrej niewydolności nerek, która z punktu widzenia medycznego jest odwracalna i wymaga jedynie czasowej dializoterapii.</w:t>
      </w:r>
    </w:p>
    <w:p w:rsidR="00AD1529" w:rsidRPr="00690F04" w:rsidRDefault="00AD1529" w:rsidP="00690F04">
      <w:pPr>
        <w:pStyle w:val="Akapitzlist"/>
        <w:autoSpaceDE w:val="0"/>
        <w:autoSpaceDN w:val="0"/>
        <w:adjustRightInd w:val="0"/>
        <w:spacing w:after="0" w:line="240" w:lineRule="auto"/>
        <w:ind w:left="567" w:hanging="425"/>
        <w:jc w:val="both"/>
      </w:pPr>
    </w:p>
    <w:p w:rsidR="00AD1529" w:rsidRPr="00690F04" w:rsidRDefault="00AD1529" w:rsidP="00690F04">
      <w:pPr>
        <w:pStyle w:val="Akapitzlist"/>
        <w:numPr>
          <w:ilvl w:val="0"/>
          <w:numId w:val="9"/>
        </w:numPr>
        <w:autoSpaceDE w:val="0"/>
        <w:autoSpaceDN w:val="0"/>
        <w:adjustRightInd w:val="0"/>
        <w:spacing w:after="0" w:line="240" w:lineRule="auto"/>
        <w:ind w:left="567" w:hanging="425"/>
        <w:jc w:val="both"/>
      </w:pPr>
      <w:r w:rsidRPr="00690F04">
        <w:rPr>
          <w:b/>
        </w:rPr>
        <w:t>Porażenia -</w:t>
      </w:r>
      <w:r w:rsidRPr="00690F04">
        <w:rPr>
          <w:rFonts w:cs="StoneSansPl"/>
        </w:rPr>
        <w:t>Całkowite i nieodwracalne porażenie mięśni dwóch kończyn jako wynik urazu albo choroby mózgu lub rdzenia kręgowego. Pod pojęciem kończyna górna rozumie się całą rękę, a więc dłoń, przedramię i ramię, a pod pojęciem kończyna dolna rozumie się całą nogę, a więc stopę, podudzie i udo. Prawo do świadczenia powstaje wraz z postawieniem diagnozy przez oddział neurologiczny lub lekarza neurologa pod warunkiem utrzymywania się porażenia przez co najmniej 3 miesiące. Diagnoza powinna być poparta badaniami obiektywnymi takimi jak np. badania obrazowe.</w:t>
      </w:r>
    </w:p>
    <w:p w:rsidR="00AD1529" w:rsidRPr="00690F04" w:rsidRDefault="00AD1529" w:rsidP="00690F04">
      <w:pPr>
        <w:pStyle w:val="Akapitzlist"/>
        <w:autoSpaceDE w:val="0"/>
        <w:autoSpaceDN w:val="0"/>
        <w:adjustRightInd w:val="0"/>
        <w:spacing w:after="0" w:line="240" w:lineRule="auto"/>
        <w:ind w:left="567" w:hanging="425"/>
        <w:jc w:val="both"/>
      </w:pPr>
    </w:p>
    <w:p w:rsidR="00AD1529" w:rsidRPr="00690F04" w:rsidRDefault="00AD1529" w:rsidP="00690F04">
      <w:pPr>
        <w:pStyle w:val="Akapitzlist"/>
        <w:numPr>
          <w:ilvl w:val="0"/>
          <w:numId w:val="9"/>
        </w:numPr>
        <w:autoSpaceDE w:val="0"/>
        <w:autoSpaceDN w:val="0"/>
        <w:adjustRightInd w:val="0"/>
        <w:spacing w:after="0" w:line="240" w:lineRule="auto"/>
        <w:ind w:left="567" w:hanging="425"/>
        <w:jc w:val="both"/>
      </w:pPr>
      <w:r w:rsidRPr="00690F04">
        <w:rPr>
          <w:rFonts w:cs="StoneSansPl"/>
          <w:b/>
        </w:rPr>
        <w:t>Utrata wzroku -</w:t>
      </w:r>
      <w:r w:rsidRPr="00690F04">
        <w:rPr>
          <w:rFonts w:cs="StoneSansPl"/>
        </w:rPr>
        <w:t xml:space="preserve"> Całkowita i nieodwracalna utrata wzroku w obydwu oczach, która powstała w następstwie niespodziewanej choroby lub wypadku i nie może być skorygowana przy pomocy szkieł korekcyjnych, leków ani operacji. Całkowita utrata wzroku powinna być potwierdzona wynikiem badania ostrości wzroku 3/60 albo mniejszym (0,05 lub w zapisie dziesiętnym) w lepszym oku po najlepszej korekcji lub pole widzenia o średnicy mniejszej niż 10°wlepszym oku po najlepszej korekcji. Diagnoza powinna zostać postawiona przez oddział okulistyczny albo przez lekarza specjalistę w zakresie okulistyki.</w:t>
      </w:r>
    </w:p>
    <w:p w:rsidR="00AD1529" w:rsidRPr="00690F04" w:rsidRDefault="00AD1529" w:rsidP="00690F04">
      <w:pPr>
        <w:pStyle w:val="Akapitzlist"/>
        <w:numPr>
          <w:ilvl w:val="0"/>
          <w:numId w:val="9"/>
        </w:numPr>
        <w:autoSpaceDE w:val="0"/>
        <w:autoSpaceDN w:val="0"/>
        <w:adjustRightInd w:val="0"/>
        <w:spacing w:after="0" w:line="240" w:lineRule="auto"/>
        <w:ind w:left="567" w:hanging="425"/>
        <w:jc w:val="both"/>
      </w:pPr>
      <w:r w:rsidRPr="00690F04">
        <w:rPr>
          <w:rFonts w:cs="StoneSansPl"/>
          <w:b/>
        </w:rPr>
        <w:lastRenderedPageBreak/>
        <w:t>Śpiączka -</w:t>
      </w:r>
      <w:r w:rsidRPr="00690F04">
        <w:rPr>
          <w:rFonts w:cs="StoneSansPl"/>
        </w:rPr>
        <w:t xml:space="preserve"> Stan nieprzytomności z brakiem reakcji na bodźce zewnętrzne i wewnętrzne potrzeby, który oceniany według skali śpiączki Glasgow daje wynik 8 albo mniejszy przez co najmniej 96 godzin, wymaga użycia systemów podtrzymujących życie i skutkuje utrzymującymi się ubytkami (deficytami) neurologicznymi, które muszą być ocenione przez lekarza specjalistę z zakresu neurologii po upływie co najmniej 30 dni od chwili rozpoczęcia śpiączki. Odpowiedzialność ubezpieczyciela nie dotyczy śpiączki wywołanej w celachleczniczych oraz spowodowanej samouszkodzeniem, zatruciem etanolem lub użyciem narkotyków</w:t>
      </w:r>
    </w:p>
    <w:p w:rsidR="00AD1529" w:rsidRPr="00690F04" w:rsidRDefault="00AD1529" w:rsidP="00690F04">
      <w:pPr>
        <w:pStyle w:val="Akapitzlist"/>
        <w:numPr>
          <w:ilvl w:val="0"/>
          <w:numId w:val="9"/>
        </w:numPr>
        <w:autoSpaceDE w:val="0"/>
        <w:autoSpaceDN w:val="0"/>
        <w:adjustRightInd w:val="0"/>
        <w:spacing w:after="0" w:line="240" w:lineRule="auto"/>
        <w:ind w:left="567" w:hanging="425"/>
        <w:jc w:val="both"/>
      </w:pPr>
      <w:r w:rsidRPr="00690F04">
        <w:rPr>
          <w:rFonts w:cs="StoneSansPl"/>
          <w:b/>
        </w:rPr>
        <w:t>Oparzenia -</w:t>
      </w:r>
      <w:r w:rsidRPr="00690F04">
        <w:rPr>
          <w:rFonts w:cs="StoneSansPl"/>
        </w:rPr>
        <w:t xml:space="preserve"> Oparzenie trzeciego stopnia będące wynikiem wypadku, obejmujące co najmniej 20% powierzchni ciała, mierzone zgodnie z „regułą dziewiątek" mapy powierzchni ciała. Przez oparzenie trzeciego stopnia rozumie się oparzenie, które wywołało zniszczenie pełnej grubości skóry i dno rany oparzeniowej stanowi tkanka podskórna. Diagnoza powinna być ustalona przez oddział chirurgiczny lub leczenia oparzeń albo lekarza specjalistę w zakresie chirurgii. Ubezpieczeniem nie są objęte oparzenia pierwszego ani drugiego stopnia, a także wynikające z samouszkodzenia oparzenia trzeciego stopnia.</w:t>
      </w:r>
    </w:p>
    <w:p w:rsidR="00AD1529" w:rsidRPr="00690F04" w:rsidRDefault="00AD1529" w:rsidP="00690F04">
      <w:pPr>
        <w:pStyle w:val="Akapitzlist"/>
        <w:numPr>
          <w:ilvl w:val="0"/>
          <w:numId w:val="9"/>
        </w:numPr>
        <w:autoSpaceDE w:val="0"/>
        <w:autoSpaceDN w:val="0"/>
        <w:adjustRightInd w:val="0"/>
        <w:spacing w:after="0" w:line="240" w:lineRule="auto"/>
        <w:ind w:left="567" w:hanging="425"/>
        <w:jc w:val="both"/>
      </w:pPr>
      <w:r w:rsidRPr="00690F04">
        <w:rPr>
          <w:rFonts w:cs="StoneSansPl"/>
          <w:b/>
        </w:rPr>
        <w:t>Utrata mowy -</w:t>
      </w:r>
      <w:r w:rsidRPr="00690F04">
        <w:rPr>
          <w:rFonts w:cs="StoneSansPl"/>
        </w:rPr>
        <w:t xml:space="preserve"> Całkowita i nieodwracalna utrata zdolności mowy w następstwie choroby lub urazu, która trwa nieprzerwanie przez okres co najmniej 9 miesięcy. Dokumentacja medyczna musi być potwierdzona konsultacją specjalisty laryngologa lub foniatry, która potwierdzi uraz lub chorobę strun głosowych. Wykluczone są przypadki, gdzie powodem utraty mowy są przyczyny psychiczne. Utrata mowy oznacza niemożność artykułowania zrozumiałych słów lub zrozumiale mówionego języka.</w:t>
      </w:r>
    </w:p>
    <w:p w:rsidR="00AD1529" w:rsidRPr="00690F04" w:rsidRDefault="00AD1529" w:rsidP="00690F04">
      <w:pPr>
        <w:pStyle w:val="Akapitzlist"/>
        <w:numPr>
          <w:ilvl w:val="0"/>
          <w:numId w:val="9"/>
        </w:numPr>
        <w:autoSpaceDE w:val="0"/>
        <w:autoSpaceDN w:val="0"/>
        <w:adjustRightInd w:val="0"/>
        <w:spacing w:after="0" w:line="240" w:lineRule="auto"/>
        <w:ind w:left="567" w:hanging="425"/>
        <w:jc w:val="both"/>
      </w:pPr>
      <w:r w:rsidRPr="00690F04">
        <w:rPr>
          <w:rFonts w:cs="StoneSansPl"/>
          <w:b/>
        </w:rPr>
        <w:t>Utrata słuchu -</w:t>
      </w:r>
      <w:r w:rsidRPr="00690F04">
        <w:rPr>
          <w:rFonts w:cs="StoneSansPl"/>
        </w:rPr>
        <w:t xml:space="preserve"> Całkowita i nieodwracalna utrata słuchu w obu uszach jako skutek choroby lub wypadku. Dokumentacjamedyczna utraty słuchu powinna być koniecznie poparta konsultacją specjalisty laryngologa lub audiologa oraz stwierdzonym w audiometrii tonalnej progu słyszalności powyżej 90 dB przy 500, 1000 i 2000 herców w uchu, o mniejszym stopniu uszkodzenia.</w:t>
      </w:r>
    </w:p>
    <w:p w:rsidR="00AD1529" w:rsidRPr="00690F04" w:rsidRDefault="00AD1529" w:rsidP="00690F04">
      <w:pPr>
        <w:pStyle w:val="Akapitzlist"/>
        <w:numPr>
          <w:ilvl w:val="0"/>
          <w:numId w:val="9"/>
        </w:numPr>
        <w:autoSpaceDE w:val="0"/>
        <w:autoSpaceDN w:val="0"/>
        <w:adjustRightInd w:val="0"/>
        <w:spacing w:after="0" w:line="240" w:lineRule="auto"/>
        <w:ind w:left="567" w:hanging="425"/>
        <w:jc w:val="both"/>
      </w:pPr>
      <w:r w:rsidRPr="00690F04">
        <w:rPr>
          <w:rFonts w:cs="StoneSansPl"/>
          <w:b/>
        </w:rPr>
        <w:t>Guz mózgu -</w:t>
      </w:r>
      <w:r w:rsidRPr="00690F04">
        <w:rPr>
          <w:rFonts w:cs="StoneSansPl"/>
        </w:rPr>
        <w:t xml:space="preserve"> Łagodny nowotwór mózgu, który definiuje się jako niezłośliwy rozrost tkanki ograniczony do opon mózgowych,mózgu lub nerwów czaszkowych i znajdujący się wewnątrz mózgoczaszki. Nowotwór ten powinien być leczony poprzez:</w:t>
      </w:r>
    </w:p>
    <w:p w:rsidR="00AD1529" w:rsidRPr="00690F04" w:rsidRDefault="00AD1529" w:rsidP="00690F04">
      <w:pPr>
        <w:autoSpaceDE w:val="0"/>
        <w:autoSpaceDN w:val="0"/>
        <w:adjustRightInd w:val="0"/>
        <w:spacing w:after="0" w:line="240" w:lineRule="auto"/>
        <w:ind w:left="567"/>
        <w:jc w:val="both"/>
        <w:rPr>
          <w:rFonts w:cs="StoneSansPl"/>
        </w:rPr>
      </w:pPr>
      <w:r w:rsidRPr="00690F04">
        <w:rPr>
          <w:rFonts w:cs="StoneSansPl"/>
        </w:rPr>
        <w:t>- usunięcie chirurgiczne,</w:t>
      </w:r>
    </w:p>
    <w:p w:rsidR="00AD1529" w:rsidRPr="00690F04" w:rsidRDefault="00AD1529" w:rsidP="00690F04">
      <w:pPr>
        <w:autoSpaceDE w:val="0"/>
        <w:autoSpaceDN w:val="0"/>
        <w:adjustRightInd w:val="0"/>
        <w:spacing w:after="0" w:line="240" w:lineRule="auto"/>
        <w:ind w:left="567"/>
        <w:jc w:val="both"/>
        <w:rPr>
          <w:rFonts w:cs="StoneSansPl"/>
        </w:rPr>
      </w:pPr>
      <w:r w:rsidRPr="00690F04">
        <w:rPr>
          <w:rFonts w:cs="StoneSansPl"/>
        </w:rPr>
        <w:t>- stereotaktyczną radiochirurgię,</w:t>
      </w:r>
    </w:p>
    <w:p w:rsidR="00AD1529" w:rsidRPr="00690F04" w:rsidRDefault="00AD1529" w:rsidP="00690F04">
      <w:pPr>
        <w:autoSpaceDE w:val="0"/>
        <w:autoSpaceDN w:val="0"/>
        <w:adjustRightInd w:val="0"/>
        <w:spacing w:after="0" w:line="240" w:lineRule="auto"/>
        <w:ind w:left="567"/>
        <w:jc w:val="both"/>
        <w:rPr>
          <w:rFonts w:cs="StoneSansPl"/>
        </w:rPr>
      </w:pPr>
      <w:r w:rsidRPr="00690F04">
        <w:rPr>
          <w:rFonts w:cs="StoneSansPl"/>
        </w:rPr>
        <w:t>- radioterapię.</w:t>
      </w:r>
    </w:p>
    <w:p w:rsidR="00AD1529" w:rsidRPr="00690F04" w:rsidRDefault="00AD1529" w:rsidP="00690F04">
      <w:pPr>
        <w:autoSpaceDE w:val="0"/>
        <w:autoSpaceDN w:val="0"/>
        <w:adjustRightInd w:val="0"/>
        <w:spacing w:after="0" w:line="240" w:lineRule="auto"/>
        <w:ind w:left="567"/>
        <w:jc w:val="both"/>
        <w:rPr>
          <w:rFonts w:cs="StoneSansPl"/>
        </w:rPr>
      </w:pPr>
      <w:r w:rsidRPr="00690F04">
        <w:rPr>
          <w:rFonts w:cs="StoneSansPl"/>
        </w:rPr>
        <w:t>Jeśli żadna z wyżej wskazanych opcji leczenia nie jest możliwa ze względów medycznych, guz musi powodować trwałe deficyty neurologiczne, których występowanie udokumentowano przez co najmniej 3 miesiące od dnia rozpoznania. Rozpoznanie musi być postawione przez lekarza specjalistę z zakresu neurologii lub neurochirurgii w oparciu o wyniki badań obrazowych i - w miarę możliwości - o wynik badania histopatologicznego. Ubezpieczeniem nie jest objęte diagnozowanie i leczenie guzów o typie hamartoma, ziarniniaków, torbieli, ani guzów przysadki czy malformacji naczyniowych mózgu.</w:t>
      </w:r>
    </w:p>
    <w:p w:rsidR="00AD1529" w:rsidRPr="00690F04" w:rsidRDefault="00AD1529" w:rsidP="00690F04">
      <w:pPr>
        <w:pStyle w:val="Akapitzlist"/>
        <w:numPr>
          <w:ilvl w:val="0"/>
          <w:numId w:val="9"/>
        </w:numPr>
        <w:autoSpaceDE w:val="0"/>
        <w:autoSpaceDN w:val="0"/>
        <w:adjustRightInd w:val="0"/>
        <w:spacing w:after="0" w:line="240" w:lineRule="auto"/>
        <w:ind w:left="567" w:hanging="425"/>
        <w:jc w:val="both"/>
        <w:rPr>
          <w:rFonts w:cs="StoneSansPl"/>
        </w:rPr>
      </w:pPr>
      <w:r w:rsidRPr="00690F04">
        <w:rPr>
          <w:rFonts w:cs="StoneSansPl"/>
          <w:b/>
        </w:rPr>
        <w:t>Utrata kończyn -</w:t>
      </w:r>
      <w:r w:rsidRPr="00690F04">
        <w:rPr>
          <w:rFonts w:cs="StoneSansPl"/>
        </w:rPr>
        <w:t xml:space="preserve"> Całkowita fizyczna utrata co najmniej dwóch kończyn wskutek choroby lub wypadku. Warunkiem uznania roszczenia jest utrata każdej z kończyn na wysokości nadgarstków/stawów skokowych albo powyżej.Konieczność amputacji musi być poparta opinią lekarza specjalisty w zakresie chirurgii lub ortopedii. Ubezpieczeniem nie jest objęta utrata kończyny na skutek samookaleczenia.</w:t>
      </w:r>
    </w:p>
    <w:p w:rsidR="00AD1529" w:rsidRPr="00690F04" w:rsidRDefault="00AD1529" w:rsidP="00690F04">
      <w:pPr>
        <w:pStyle w:val="Akapitzlist"/>
        <w:numPr>
          <w:ilvl w:val="0"/>
          <w:numId w:val="9"/>
        </w:numPr>
        <w:autoSpaceDE w:val="0"/>
        <w:autoSpaceDN w:val="0"/>
        <w:adjustRightInd w:val="0"/>
        <w:spacing w:after="0" w:line="240" w:lineRule="auto"/>
        <w:ind w:left="567" w:hanging="425"/>
        <w:jc w:val="both"/>
        <w:rPr>
          <w:rFonts w:cs="ArialMT"/>
        </w:rPr>
      </w:pPr>
      <w:r w:rsidRPr="00690F04">
        <w:rPr>
          <w:rFonts w:cs="Arial-BoldMT"/>
          <w:b/>
          <w:bCs/>
        </w:rPr>
        <w:t xml:space="preserve">Paraliż </w:t>
      </w:r>
      <w:r w:rsidRPr="00690F04">
        <w:rPr>
          <w:rFonts w:cs="Arial-BoldMT"/>
          <w:bCs/>
        </w:rPr>
        <w:t>-</w:t>
      </w:r>
      <w:r w:rsidRPr="00690F04">
        <w:rPr>
          <w:rFonts w:cs="ArialMT"/>
        </w:rPr>
        <w:t xml:space="preserve">Za </w:t>
      </w:r>
      <w:r w:rsidRPr="00690F04">
        <w:rPr>
          <w:rFonts w:cs="Arial-BoldMT"/>
          <w:b/>
          <w:bCs/>
        </w:rPr>
        <w:t xml:space="preserve">paraliż </w:t>
      </w:r>
      <w:r w:rsidRPr="00690F04">
        <w:rPr>
          <w:rFonts w:cs="ArialMT"/>
        </w:rPr>
        <w:t>uważa się całkowitą i trwałą utratę funkcji dwóch lub więcej kończyn spowodowaną urazem lub chorobą rdzeniakręgowego lub mózgu rozpoznaną przez neurologa. Ubezpieczenie obejmuje utratę funkcji kończyn określaną jako diplegia, hemiplegia,  tetraplegia lub quadriplegia.</w:t>
      </w:r>
    </w:p>
    <w:p w:rsidR="00AD1529" w:rsidRPr="00690F04" w:rsidRDefault="00AD1529" w:rsidP="00690F04">
      <w:pPr>
        <w:pStyle w:val="Akapitzlist"/>
        <w:numPr>
          <w:ilvl w:val="0"/>
          <w:numId w:val="9"/>
        </w:numPr>
        <w:autoSpaceDE w:val="0"/>
        <w:autoSpaceDN w:val="0"/>
        <w:adjustRightInd w:val="0"/>
        <w:spacing w:after="0" w:line="240" w:lineRule="auto"/>
        <w:ind w:left="567" w:hanging="425"/>
        <w:jc w:val="both"/>
        <w:rPr>
          <w:rFonts w:cs="Arial-BoldMT"/>
          <w:b/>
          <w:bCs/>
        </w:rPr>
      </w:pPr>
      <w:r w:rsidRPr="00690F04">
        <w:rPr>
          <w:rFonts w:cs="Arial-BoldMT"/>
          <w:b/>
          <w:bCs/>
        </w:rPr>
        <w:t xml:space="preserve">Operacja Aorty </w:t>
      </w:r>
      <w:r w:rsidRPr="00690F04">
        <w:rPr>
          <w:rFonts w:cs="Arial-BoldMT"/>
          <w:bCs/>
        </w:rPr>
        <w:t>-</w:t>
      </w:r>
      <w:r w:rsidRPr="00690F04">
        <w:rPr>
          <w:rFonts w:cs="ArialMT"/>
        </w:rPr>
        <w:t xml:space="preserve">Za </w:t>
      </w:r>
      <w:r w:rsidRPr="00690F04">
        <w:rPr>
          <w:rFonts w:cs="Arial-BoldMT"/>
          <w:b/>
          <w:bCs/>
        </w:rPr>
        <w:t xml:space="preserve">operację aorty </w:t>
      </w:r>
      <w:r w:rsidRPr="00690F04">
        <w:rPr>
          <w:rFonts w:cs="ArialMT"/>
        </w:rPr>
        <w:t>uważa się operację chirurgiczną aorty piersiowej lub brzusznej przeprowadzoną z powodu zagrażającejżyciu choroby naczyniowej, w tym koarktacji aorty, tętniaków i rozwarstwienia aorty. Ubezpieczenie nie obejmuje zabiegówpolegających na wprowadzeniu wszelkich rodzajów stentów (także stentgraftu) do aorty oraz zabiegów dotyczących jedynieodgałęzień aorty.</w:t>
      </w:r>
    </w:p>
    <w:p w:rsidR="00AD1529" w:rsidRPr="00690F04" w:rsidRDefault="00AD1529" w:rsidP="00690F04">
      <w:pPr>
        <w:pStyle w:val="Akapitzlist"/>
        <w:numPr>
          <w:ilvl w:val="0"/>
          <w:numId w:val="9"/>
        </w:numPr>
        <w:autoSpaceDE w:val="0"/>
        <w:autoSpaceDN w:val="0"/>
        <w:adjustRightInd w:val="0"/>
        <w:spacing w:after="0" w:line="240" w:lineRule="auto"/>
        <w:ind w:left="567" w:hanging="425"/>
        <w:jc w:val="both"/>
        <w:rPr>
          <w:rFonts w:cs="Arial-BoldMT"/>
          <w:b/>
          <w:bCs/>
        </w:rPr>
      </w:pPr>
      <w:r w:rsidRPr="00690F04">
        <w:rPr>
          <w:rFonts w:cs="Arial-BoldMT"/>
          <w:b/>
          <w:bCs/>
        </w:rPr>
        <w:lastRenderedPageBreak/>
        <w:t xml:space="preserve">Choroba Alzheimera – </w:t>
      </w:r>
      <w:r w:rsidRPr="00690F04">
        <w:rPr>
          <w:rFonts w:cs="ArialMT"/>
        </w:rPr>
        <w:t>Choroba ośrodkowego układu nerwowego, która charakteryzuje się zanikiem kory mózgowej i występowaniem :</w:t>
      </w:r>
      <w:r w:rsidRPr="00690F04">
        <w:rPr>
          <w:rFonts w:cs="Arial-BoldMT"/>
          <w:bCs/>
        </w:rPr>
        <w:t>zaburzeń pamięci, osobowości, zachowania, funkcji poznawczych i zmianami nastroju</w:t>
      </w:r>
    </w:p>
    <w:p w:rsidR="00AD1529" w:rsidRPr="00690F04" w:rsidRDefault="00AD1529" w:rsidP="00690F04">
      <w:pPr>
        <w:pStyle w:val="Akapitzlist"/>
        <w:numPr>
          <w:ilvl w:val="0"/>
          <w:numId w:val="9"/>
        </w:numPr>
        <w:autoSpaceDE w:val="0"/>
        <w:autoSpaceDN w:val="0"/>
        <w:adjustRightInd w:val="0"/>
        <w:spacing w:after="0" w:line="240" w:lineRule="auto"/>
        <w:ind w:left="567" w:hanging="425"/>
        <w:jc w:val="both"/>
        <w:rPr>
          <w:rFonts w:cs="ArialMT"/>
        </w:rPr>
      </w:pPr>
      <w:r w:rsidRPr="00690F04">
        <w:rPr>
          <w:rFonts w:cs="Arial-BoldMT"/>
          <w:b/>
          <w:bCs/>
        </w:rPr>
        <w:t xml:space="preserve">Schyłkowa niewydolność wątroby w tym spowodowana wirusowym zapaleniem wątroby typu B lub C – </w:t>
      </w:r>
      <w:r w:rsidRPr="00690F04">
        <w:rPr>
          <w:rFonts w:cs="ArialMT"/>
        </w:rPr>
        <w:t>Ciężka i zaawansowana choroba wątroby, która doprowadziła do : niepoddającego się leczeniu wodobrzusza, niepoddającej się leczeniu żółtaczki, żylaków przełyku i encefalopatii.</w:t>
      </w:r>
    </w:p>
    <w:p w:rsidR="00AD1529" w:rsidRPr="00690F04" w:rsidRDefault="00AD1529" w:rsidP="00690F04">
      <w:pPr>
        <w:pStyle w:val="Akapitzlist"/>
        <w:numPr>
          <w:ilvl w:val="0"/>
          <w:numId w:val="9"/>
        </w:numPr>
        <w:autoSpaceDE w:val="0"/>
        <w:autoSpaceDN w:val="0"/>
        <w:adjustRightInd w:val="0"/>
        <w:spacing w:after="0" w:line="240" w:lineRule="auto"/>
        <w:ind w:left="567" w:hanging="425"/>
        <w:jc w:val="both"/>
        <w:rPr>
          <w:rFonts w:cs="Arial-BoldMT"/>
          <w:b/>
          <w:bCs/>
        </w:rPr>
      </w:pPr>
      <w:r w:rsidRPr="00690F04">
        <w:rPr>
          <w:rFonts w:cs="Arial-BoldMT"/>
          <w:b/>
          <w:bCs/>
        </w:rPr>
        <w:t xml:space="preserve">Operacja zastawek serca - </w:t>
      </w:r>
      <w:r w:rsidRPr="00690F04">
        <w:rPr>
          <w:rFonts w:cs="ArialMT"/>
        </w:rPr>
        <w:t xml:space="preserve">Za </w:t>
      </w:r>
      <w:r w:rsidRPr="00690F04">
        <w:rPr>
          <w:rFonts w:cs="Arial-BoldMT"/>
          <w:b/>
          <w:bCs/>
        </w:rPr>
        <w:t xml:space="preserve">operację zastawek serca </w:t>
      </w:r>
      <w:r w:rsidRPr="00690F04">
        <w:rPr>
          <w:rFonts w:cs="ArialMT"/>
        </w:rPr>
        <w:t>uważa się przeprowadzoną pierwszorazową operację wymiany jednej lub więcej zastawek serca,wykonaną przy otwartym sercu lub bez otwierania serca, . Operacja musi zostać zalecona przez specjalistę w zakresie kardiologii.</w:t>
      </w:r>
    </w:p>
    <w:p w:rsidR="00AD1529" w:rsidRPr="00690F04" w:rsidRDefault="00AD1529" w:rsidP="00690F04">
      <w:pPr>
        <w:pStyle w:val="Akapitzlist"/>
        <w:numPr>
          <w:ilvl w:val="0"/>
          <w:numId w:val="9"/>
        </w:numPr>
        <w:autoSpaceDE w:val="0"/>
        <w:autoSpaceDN w:val="0"/>
        <w:adjustRightInd w:val="0"/>
        <w:spacing w:after="0" w:line="240" w:lineRule="auto"/>
        <w:ind w:left="567" w:hanging="425"/>
        <w:jc w:val="both"/>
        <w:rPr>
          <w:rFonts w:cs="Arial-BoldMT"/>
          <w:b/>
          <w:bCs/>
        </w:rPr>
      </w:pPr>
      <w:r w:rsidRPr="00690F04">
        <w:rPr>
          <w:rFonts w:cs="Arial-BoldMT"/>
          <w:b/>
          <w:bCs/>
        </w:rPr>
        <w:t xml:space="preserve">Stwardnienie rozsiane - </w:t>
      </w:r>
      <w:r w:rsidRPr="00690F04">
        <w:rPr>
          <w:rFonts w:cs="ArialMT"/>
        </w:rPr>
        <w:t xml:space="preserve">Za </w:t>
      </w:r>
      <w:r w:rsidRPr="00690F04">
        <w:rPr>
          <w:rFonts w:cs="Arial-BoldMT"/>
          <w:b/>
          <w:bCs/>
        </w:rPr>
        <w:t xml:space="preserve">stwardnienie rozsiane </w:t>
      </w:r>
      <w:r w:rsidRPr="00690F04">
        <w:rPr>
          <w:rFonts w:cs="ArialMT"/>
        </w:rPr>
        <w:t>uważa się zespół mnogich ubytków neurologicznych wywołanych demielinizacją mózgu lub rdzeniakręgowego, utrzymujących się przez co najmniej 6 miesięcy. Rozpoznanie musi być ostateczne i postawione przez specjalistę</w:t>
      </w:r>
    </w:p>
    <w:p w:rsidR="00AD1529" w:rsidRPr="00690F04" w:rsidRDefault="00AD1529" w:rsidP="00690F04">
      <w:pPr>
        <w:autoSpaceDE w:val="0"/>
        <w:autoSpaceDN w:val="0"/>
        <w:adjustRightInd w:val="0"/>
        <w:spacing w:after="0" w:line="240" w:lineRule="auto"/>
        <w:ind w:left="567"/>
        <w:jc w:val="both"/>
        <w:rPr>
          <w:rFonts w:cs="ArialMT"/>
        </w:rPr>
      </w:pPr>
      <w:r w:rsidRPr="00690F04">
        <w:rPr>
          <w:rFonts w:cs="ArialMT"/>
        </w:rPr>
        <w:t>neurologa oraz poprzedzone więcej niż jednym epizodem zaburzeń neurologicznych, stanowiących dowolną kombinację uszkodzenia nerwu wzrokowego, pnia mózgu, rdzenia kręgowego, zaburzeń koordynacji lub zaburzeń czucia.</w:t>
      </w:r>
    </w:p>
    <w:p w:rsidR="00AD1529" w:rsidRPr="00690F04" w:rsidRDefault="00AD1529" w:rsidP="00690F04">
      <w:pPr>
        <w:pStyle w:val="Akapitzlist"/>
        <w:numPr>
          <w:ilvl w:val="0"/>
          <w:numId w:val="9"/>
        </w:numPr>
        <w:autoSpaceDE w:val="0"/>
        <w:autoSpaceDN w:val="0"/>
        <w:adjustRightInd w:val="0"/>
        <w:spacing w:after="0" w:line="240" w:lineRule="auto"/>
        <w:ind w:left="567" w:hanging="425"/>
        <w:jc w:val="both"/>
        <w:rPr>
          <w:rFonts w:cs="ArialMT"/>
        </w:rPr>
      </w:pPr>
      <w:r w:rsidRPr="00690F04">
        <w:rPr>
          <w:rFonts w:cs="Arial-BoldMT"/>
          <w:b/>
          <w:bCs/>
        </w:rPr>
        <w:t>Choroba Parkinsona –</w:t>
      </w:r>
      <w:r w:rsidRPr="00690F04">
        <w:rPr>
          <w:rFonts w:cs="StoneSansPl"/>
        </w:rPr>
        <w:t xml:space="preserve"> Przewlekłe schorzenie układu pozapiramidowego, spowodowane pierwotnym zwyrodnieniem komórek nerwowych istoty czarnej, prowadzącym do zmniejszenia liczby neuronów produkujących dopaminę, którego następstwem jest wystąpienie co najmniej dwóch z trzech klasycznych objawów osiowych choroby, tj. drżenia spoczynkowego, spowolnienia ruchowego, plastycznego wzmożenia napięcia mięśniowego(sztywności mięśniowej), zmniejszających się po zastosowaniu leków stymulujących układ dopaminergiczny, zwłaszcza lewodopy.</w:t>
      </w:r>
    </w:p>
    <w:p w:rsidR="00AD1529" w:rsidRPr="00690F04" w:rsidRDefault="00AD1529" w:rsidP="00690F04">
      <w:pPr>
        <w:pStyle w:val="Akapitzlist"/>
        <w:numPr>
          <w:ilvl w:val="0"/>
          <w:numId w:val="9"/>
        </w:numPr>
        <w:autoSpaceDE w:val="0"/>
        <w:autoSpaceDN w:val="0"/>
        <w:adjustRightInd w:val="0"/>
        <w:spacing w:after="0" w:line="240" w:lineRule="auto"/>
        <w:ind w:left="567" w:hanging="425"/>
        <w:jc w:val="both"/>
        <w:rPr>
          <w:rFonts w:cs="Arial-BoldMT"/>
          <w:b/>
          <w:bCs/>
        </w:rPr>
      </w:pPr>
      <w:r w:rsidRPr="00690F04">
        <w:rPr>
          <w:rFonts w:cs="Arial-BoldMT"/>
          <w:b/>
          <w:bCs/>
        </w:rPr>
        <w:t>Anemia aplastyczna -</w:t>
      </w:r>
      <w:r w:rsidRPr="00690F04">
        <w:rPr>
          <w:rFonts w:cs="ArialMT"/>
        </w:rPr>
        <w:t xml:space="preserve">Za </w:t>
      </w:r>
      <w:r w:rsidRPr="00690F04">
        <w:rPr>
          <w:rFonts w:cs="Arial-BoldMT"/>
          <w:b/>
          <w:bCs/>
        </w:rPr>
        <w:t>anemię aplastyczną</w:t>
      </w:r>
      <w:r w:rsidRPr="00690F04">
        <w:rPr>
          <w:rFonts w:cs="ArialMT"/>
        </w:rPr>
        <w:t>uważa się przewlekłe upośledzenie funkcji szpiku kostnego powodujące niedokrwistość, neutropeniętrombocytopenię, wymagające leczenia przynajmniej dwoma z niżej wymienionych sposobów:</w:t>
      </w:r>
    </w:p>
    <w:p w:rsidR="00AD1529" w:rsidRPr="00690F04" w:rsidRDefault="00AD1529" w:rsidP="00690F04">
      <w:pPr>
        <w:autoSpaceDE w:val="0"/>
        <w:autoSpaceDN w:val="0"/>
        <w:adjustRightInd w:val="0"/>
        <w:spacing w:after="0" w:line="240" w:lineRule="auto"/>
        <w:ind w:left="567"/>
        <w:jc w:val="both"/>
        <w:rPr>
          <w:rFonts w:cs="ArialMT"/>
        </w:rPr>
      </w:pPr>
      <w:r w:rsidRPr="00690F04">
        <w:rPr>
          <w:rFonts w:cs="ArialMT"/>
        </w:rPr>
        <w:t>a) przetaczanie preparatów krwiopochodnych,</w:t>
      </w:r>
    </w:p>
    <w:p w:rsidR="00AD1529" w:rsidRPr="00690F04" w:rsidRDefault="00AD1529" w:rsidP="00690F04">
      <w:pPr>
        <w:autoSpaceDE w:val="0"/>
        <w:autoSpaceDN w:val="0"/>
        <w:adjustRightInd w:val="0"/>
        <w:spacing w:after="0" w:line="240" w:lineRule="auto"/>
        <w:ind w:left="567"/>
        <w:jc w:val="both"/>
        <w:rPr>
          <w:rFonts w:cs="ArialMT"/>
        </w:rPr>
      </w:pPr>
      <w:r w:rsidRPr="00690F04">
        <w:rPr>
          <w:rFonts w:cs="ArialMT"/>
        </w:rPr>
        <w:t>b) podawanie preparatów stymulujących szpik,</w:t>
      </w:r>
    </w:p>
    <w:p w:rsidR="00AD1529" w:rsidRPr="00690F04" w:rsidRDefault="00AD1529" w:rsidP="00690F04">
      <w:pPr>
        <w:autoSpaceDE w:val="0"/>
        <w:autoSpaceDN w:val="0"/>
        <w:adjustRightInd w:val="0"/>
        <w:spacing w:after="0" w:line="240" w:lineRule="auto"/>
        <w:ind w:left="567"/>
        <w:jc w:val="both"/>
        <w:rPr>
          <w:rFonts w:cs="ArialMT"/>
        </w:rPr>
      </w:pPr>
      <w:r w:rsidRPr="00690F04">
        <w:rPr>
          <w:rFonts w:cs="ArialMT"/>
        </w:rPr>
        <w:t>c) podawanie preparatów immunosupresyjnych,</w:t>
      </w:r>
    </w:p>
    <w:p w:rsidR="00AD1529" w:rsidRPr="00690F04" w:rsidRDefault="00AD1529" w:rsidP="00690F04">
      <w:pPr>
        <w:autoSpaceDE w:val="0"/>
        <w:autoSpaceDN w:val="0"/>
        <w:adjustRightInd w:val="0"/>
        <w:spacing w:after="0" w:line="240" w:lineRule="auto"/>
        <w:ind w:left="567"/>
        <w:jc w:val="both"/>
        <w:rPr>
          <w:rFonts w:cs="ArialMT"/>
        </w:rPr>
      </w:pPr>
      <w:r w:rsidRPr="00690F04">
        <w:rPr>
          <w:rFonts w:cs="ArialMT"/>
        </w:rPr>
        <w:t>d) przeszczepienie szpiku kostnego.</w:t>
      </w:r>
    </w:p>
    <w:p w:rsidR="00AD1529" w:rsidRPr="00690F04" w:rsidRDefault="00AD1529" w:rsidP="00690F04">
      <w:pPr>
        <w:autoSpaceDE w:val="0"/>
        <w:autoSpaceDN w:val="0"/>
        <w:adjustRightInd w:val="0"/>
        <w:spacing w:after="0" w:line="240" w:lineRule="auto"/>
        <w:ind w:left="567"/>
        <w:jc w:val="both"/>
        <w:rPr>
          <w:rFonts w:cs="ArialMT"/>
        </w:rPr>
      </w:pPr>
      <w:r w:rsidRPr="00690F04">
        <w:rPr>
          <w:rFonts w:cs="ArialMT"/>
        </w:rPr>
        <w:t>Rozpoznanie musi być potwierdzone przez specjalistę w zakresie hematologii.</w:t>
      </w:r>
    </w:p>
    <w:p w:rsidR="00AD1529" w:rsidRPr="00690F04" w:rsidRDefault="00AD1529" w:rsidP="00690F04">
      <w:pPr>
        <w:pStyle w:val="Akapitzlist"/>
        <w:numPr>
          <w:ilvl w:val="0"/>
          <w:numId w:val="9"/>
        </w:numPr>
        <w:autoSpaceDE w:val="0"/>
        <w:autoSpaceDN w:val="0"/>
        <w:adjustRightInd w:val="0"/>
        <w:spacing w:after="0" w:line="240" w:lineRule="auto"/>
        <w:ind w:left="567" w:hanging="425"/>
        <w:jc w:val="both"/>
        <w:rPr>
          <w:rFonts w:cs="Arial-BoldMT"/>
          <w:b/>
          <w:bCs/>
        </w:rPr>
      </w:pPr>
      <w:r w:rsidRPr="00690F04">
        <w:rPr>
          <w:rFonts w:cs="Arial-BoldMT"/>
          <w:b/>
          <w:bCs/>
        </w:rPr>
        <w:t xml:space="preserve">Schyłkowa niewydolność oddechowa - </w:t>
      </w:r>
      <w:r w:rsidRPr="00690F04">
        <w:rPr>
          <w:rFonts w:cs="ArialMT"/>
        </w:rPr>
        <w:t xml:space="preserve">Za </w:t>
      </w:r>
      <w:r w:rsidRPr="00690F04">
        <w:rPr>
          <w:rFonts w:cs="Arial-BoldMT"/>
          <w:b/>
          <w:bCs/>
        </w:rPr>
        <w:t xml:space="preserve">schyłkową niewydolność oddechową </w:t>
      </w:r>
      <w:r w:rsidRPr="00690F04">
        <w:rPr>
          <w:rFonts w:cs="ArialMT"/>
        </w:rPr>
        <w:t>uważa się schyłkowe stadium choroby płuc powodującej przewlekłą niewydolnośćoddechową wyrażającą się wszystkimi niżej wymienionymi objawami:</w:t>
      </w:r>
    </w:p>
    <w:p w:rsidR="00AD1529" w:rsidRPr="00690F04" w:rsidRDefault="00AD1529" w:rsidP="00690F04">
      <w:pPr>
        <w:autoSpaceDE w:val="0"/>
        <w:autoSpaceDN w:val="0"/>
        <w:adjustRightInd w:val="0"/>
        <w:spacing w:after="0" w:line="240" w:lineRule="auto"/>
        <w:ind w:left="567"/>
        <w:jc w:val="both"/>
        <w:rPr>
          <w:rFonts w:cs="ArialMT"/>
        </w:rPr>
      </w:pPr>
      <w:r w:rsidRPr="00690F04">
        <w:rPr>
          <w:rFonts w:cs="ArialMT"/>
        </w:rPr>
        <w:t>a) natężona objętość wydechowa jednosekundowa (FEV1) utrzymująca się na poziomie poniżej jednego litra w kolejnychbadaniach,</w:t>
      </w:r>
    </w:p>
    <w:p w:rsidR="00AD1529" w:rsidRPr="00690F04" w:rsidRDefault="00AD1529" w:rsidP="00690F04">
      <w:pPr>
        <w:pStyle w:val="Akapitzlist"/>
        <w:autoSpaceDE w:val="0"/>
        <w:autoSpaceDN w:val="0"/>
        <w:adjustRightInd w:val="0"/>
        <w:spacing w:after="0" w:line="240" w:lineRule="auto"/>
        <w:ind w:left="567"/>
        <w:jc w:val="both"/>
        <w:rPr>
          <w:rFonts w:cs="ArialMT"/>
        </w:rPr>
      </w:pPr>
      <w:r w:rsidRPr="00690F04">
        <w:rPr>
          <w:rFonts w:cs="ArialMT"/>
        </w:rPr>
        <w:t>b) konieczność prowadzenia stałej terapii tlenem ze względu na hipoksemię,</w:t>
      </w:r>
    </w:p>
    <w:p w:rsidR="00AD1529" w:rsidRPr="00690F04" w:rsidRDefault="00AD1529" w:rsidP="00690F04">
      <w:pPr>
        <w:pStyle w:val="Akapitzlist"/>
        <w:autoSpaceDE w:val="0"/>
        <w:autoSpaceDN w:val="0"/>
        <w:adjustRightInd w:val="0"/>
        <w:spacing w:after="0" w:line="240" w:lineRule="auto"/>
        <w:ind w:left="567"/>
        <w:jc w:val="both"/>
        <w:rPr>
          <w:rFonts w:cs="ArialMT"/>
        </w:rPr>
      </w:pPr>
      <w:r w:rsidRPr="00690F04">
        <w:rPr>
          <w:rFonts w:cs="ArialMT"/>
        </w:rPr>
        <w:t>c) ciśnienie parcjalne tlenu we krwi tętniczej (PaO2) równe lub niższej niż 55 mmHg,</w:t>
      </w:r>
    </w:p>
    <w:p w:rsidR="00AD1529" w:rsidRPr="00690F04" w:rsidRDefault="00AD1529" w:rsidP="00690F04">
      <w:pPr>
        <w:autoSpaceDE w:val="0"/>
        <w:autoSpaceDN w:val="0"/>
        <w:adjustRightInd w:val="0"/>
        <w:spacing w:after="0" w:line="240" w:lineRule="auto"/>
        <w:ind w:left="567"/>
        <w:jc w:val="both"/>
        <w:rPr>
          <w:rFonts w:cs="ArialMT"/>
        </w:rPr>
      </w:pPr>
      <w:r w:rsidRPr="00690F04">
        <w:rPr>
          <w:rFonts w:cs="ArialMT"/>
        </w:rPr>
        <w:t>d) duszność spoczynkowa.</w:t>
      </w:r>
    </w:p>
    <w:p w:rsidR="00AD1529" w:rsidRPr="00690F04" w:rsidRDefault="00AD1529" w:rsidP="00690F04">
      <w:pPr>
        <w:autoSpaceDE w:val="0"/>
        <w:autoSpaceDN w:val="0"/>
        <w:adjustRightInd w:val="0"/>
        <w:spacing w:after="0" w:line="240" w:lineRule="auto"/>
        <w:ind w:left="567"/>
        <w:jc w:val="both"/>
        <w:rPr>
          <w:rFonts w:cs="ArialMT"/>
        </w:rPr>
      </w:pPr>
      <w:r w:rsidRPr="00690F04">
        <w:rPr>
          <w:rFonts w:cs="ArialMT"/>
        </w:rPr>
        <w:t>Rozpoznanie musi być potwierdzone przez lekarza pulmonologa.</w:t>
      </w:r>
    </w:p>
    <w:p w:rsidR="00AD1529" w:rsidRPr="00690F04" w:rsidRDefault="00AD1529" w:rsidP="00690F04">
      <w:pPr>
        <w:pStyle w:val="Akapitzlist"/>
        <w:numPr>
          <w:ilvl w:val="0"/>
          <w:numId w:val="9"/>
        </w:numPr>
        <w:autoSpaceDE w:val="0"/>
        <w:autoSpaceDN w:val="0"/>
        <w:adjustRightInd w:val="0"/>
        <w:spacing w:after="0" w:line="240" w:lineRule="auto"/>
        <w:ind w:left="567" w:hanging="425"/>
        <w:jc w:val="both"/>
        <w:rPr>
          <w:rFonts w:cs="Arial-BoldMT"/>
          <w:b/>
          <w:bCs/>
        </w:rPr>
      </w:pPr>
      <w:r w:rsidRPr="00690F04">
        <w:rPr>
          <w:rFonts w:cs="Arial-BoldMT"/>
          <w:b/>
          <w:bCs/>
        </w:rPr>
        <w:t xml:space="preserve">Choroba Creutzfeldta  –Jakoba  - </w:t>
      </w:r>
      <w:r w:rsidRPr="00690F04">
        <w:rPr>
          <w:rFonts w:cs="ArialMT"/>
        </w:rPr>
        <w:t xml:space="preserve">Za </w:t>
      </w:r>
      <w:r w:rsidRPr="00690F04">
        <w:rPr>
          <w:rFonts w:cs="Arial-BoldMT"/>
          <w:b/>
          <w:bCs/>
        </w:rPr>
        <w:t xml:space="preserve">chorobę Creutzfeldta - Jakoba </w:t>
      </w:r>
      <w:r w:rsidRPr="00690F04">
        <w:rPr>
          <w:rFonts w:cs="ArialMT"/>
        </w:rPr>
        <w:t>uważa się postępującą chorobę zakaźną (zakażenie następuje m.in. poprzez spożyciezakażonego mięsa lub innych produktów, w następstwie zabiegów medycznych) charakteryzującą się objawami psychicznymi (otępienie) oraz neurologicznymi (objawy porażenia nerwów, zaburzenia wzroku, zaburzenia równowagi i inne). Jednoznaczna diagnoza musi być postawiona przez specjalistę neurologa.</w:t>
      </w:r>
    </w:p>
    <w:p w:rsidR="00AD1529" w:rsidRPr="00690F04" w:rsidRDefault="00AD1529" w:rsidP="00690F04">
      <w:pPr>
        <w:pStyle w:val="Akapitzlist"/>
        <w:numPr>
          <w:ilvl w:val="0"/>
          <w:numId w:val="9"/>
        </w:numPr>
        <w:autoSpaceDE w:val="0"/>
        <w:autoSpaceDN w:val="0"/>
        <w:adjustRightInd w:val="0"/>
        <w:spacing w:after="0" w:line="240" w:lineRule="auto"/>
        <w:ind w:left="567" w:hanging="425"/>
        <w:jc w:val="both"/>
        <w:rPr>
          <w:rFonts w:cs="Arial-BoldMT"/>
          <w:b/>
          <w:bCs/>
        </w:rPr>
      </w:pPr>
      <w:r w:rsidRPr="00690F04">
        <w:rPr>
          <w:rFonts w:cs="Arial-BoldMT"/>
          <w:b/>
          <w:bCs/>
        </w:rPr>
        <w:t xml:space="preserve">Zakażenie HIV LUB ROZPOZNANIE AIDS/NABYTY ZESPÓŁ NIEDOBORU ODPORNOŚCI - </w:t>
      </w:r>
      <w:r w:rsidRPr="00690F04">
        <w:rPr>
          <w:rFonts w:cs="ArialMT"/>
        </w:rPr>
        <w:t xml:space="preserve">Za </w:t>
      </w:r>
      <w:r w:rsidRPr="00690F04">
        <w:rPr>
          <w:rFonts w:cs="Arial-BoldMT"/>
          <w:b/>
          <w:bCs/>
        </w:rPr>
        <w:t xml:space="preserve">zakażenie HIV/Human ImmunodeficiencyVirus lub rozpoznanie AIDS/Nabyty Zespół Niedoboru Odporności (w wyniku transfuzji krwi) </w:t>
      </w:r>
      <w:r w:rsidRPr="00690F04">
        <w:rPr>
          <w:rFonts w:cs="ArialMT"/>
        </w:rPr>
        <w:t>uważa się zakażenie, w przypadku którego można udowodnić, że ubezpieczonemu przetoczonozakażoną krew lub preparaty krwiopochodne pochodzące z licencjonowanego ośrodka uprawnionego do przygotowywania</w:t>
      </w:r>
    </w:p>
    <w:p w:rsidR="00AD1529" w:rsidRPr="00690F04" w:rsidRDefault="00AD1529" w:rsidP="00690F04">
      <w:pPr>
        <w:autoSpaceDE w:val="0"/>
        <w:autoSpaceDN w:val="0"/>
        <w:adjustRightInd w:val="0"/>
        <w:spacing w:after="0" w:line="240" w:lineRule="auto"/>
        <w:ind w:left="567"/>
        <w:jc w:val="both"/>
        <w:rPr>
          <w:rFonts w:cs="ArialMT"/>
        </w:rPr>
      </w:pPr>
      <w:r w:rsidRPr="00690F04">
        <w:rPr>
          <w:rFonts w:cs="ArialMT"/>
        </w:rPr>
        <w:lastRenderedPageBreak/>
        <w:t>takich preparatów (stacji krwiodawstwa). Przetoczenie zakażonej krwi musiało mieć miejsce po dacie zawarcia dodatkowej umowy ubezpieczenia. Serokonwersja musi nastąpić w ciągu 6 miesięcy od daty przetoczenia.</w:t>
      </w:r>
    </w:p>
    <w:p w:rsidR="00AD1529" w:rsidRPr="00690F04" w:rsidRDefault="00AD1529" w:rsidP="00690F04">
      <w:pPr>
        <w:pStyle w:val="Akapitzlist"/>
        <w:numPr>
          <w:ilvl w:val="0"/>
          <w:numId w:val="9"/>
        </w:numPr>
        <w:autoSpaceDE w:val="0"/>
        <w:autoSpaceDN w:val="0"/>
        <w:adjustRightInd w:val="0"/>
        <w:spacing w:after="0" w:line="240" w:lineRule="auto"/>
        <w:ind w:left="567" w:hanging="425"/>
        <w:jc w:val="both"/>
        <w:rPr>
          <w:rFonts w:cs="Arial-BoldMT"/>
          <w:b/>
          <w:bCs/>
        </w:rPr>
      </w:pPr>
      <w:r w:rsidRPr="00690F04">
        <w:rPr>
          <w:rFonts w:cs="Arial-BoldMT"/>
          <w:b/>
          <w:bCs/>
        </w:rPr>
        <w:t xml:space="preserve">Zakażenie HIV/HUMAN IMMUNODEFICIENCY VIRUS LUBROZPOZNANIE AIDS/NABYTY ZESPÓŁ NIEDOBORU ODPORNOŚCI - </w:t>
      </w:r>
      <w:r w:rsidRPr="00690F04">
        <w:rPr>
          <w:rFonts w:cs="ArialMT"/>
        </w:rPr>
        <w:t xml:space="preserve">Za </w:t>
      </w:r>
      <w:r w:rsidRPr="00690F04">
        <w:rPr>
          <w:rFonts w:cs="Arial-BoldMT"/>
          <w:b/>
          <w:bCs/>
        </w:rPr>
        <w:t xml:space="preserve">zakażenie HIV/Human ImmunodeficiencyVirus lub rozpoznanie AIDS/Nabyty Zespół Niedoboru Odporności (w związku z wykonywanym zawodem) </w:t>
      </w:r>
      <w:r w:rsidRPr="00690F04">
        <w:rPr>
          <w:rFonts w:cs="ArialMT"/>
        </w:rPr>
        <w:t>uważa się zakażenie, w przypadku którego można udowodnić, że jest wynikiemprzypadkowego ukłucia się igłą/skaleczenia podczas pełnienia obowiązków wynikających z wykonywania zawodu lekarza,lekarza stomatologii, pielęgniarki, sanitariusza, strażaka lub policjanta. Każde takie zdarzenie, będące powodem roszczenia, musi nastąpić w okresie ważności polisy i musi być zgłoszone ubezpieczycielowi w ciągu 7 dni od zaistnienia tego zdarzenia. Dodatkowo, test w kierunku HIV wykonany bezpośrednio po tym zdarzeniu musi być negatywny, a serokonwersja musi nastąpić w ciągu 6 miesięcy licząc od daty zdarzenia.</w:t>
      </w:r>
    </w:p>
    <w:p w:rsidR="00592251" w:rsidRPr="00690F04" w:rsidRDefault="00592251" w:rsidP="00690F04">
      <w:pPr>
        <w:pStyle w:val="Akapitzlist"/>
        <w:numPr>
          <w:ilvl w:val="0"/>
          <w:numId w:val="9"/>
        </w:numPr>
        <w:autoSpaceDE w:val="0"/>
        <w:autoSpaceDN w:val="0"/>
        <w:adjustRightInd w:val="0"/>
        <w:spacing w:after="0" w:line="240" w:lineRule="auto"/>
        <w:ind w:left="567" w:hanging="425"/>
        <w:jc w:val="both"/>
        <w:rPr>
          <w:rFonts w:cs="Arial-BoldMT"/>
          <w:b/>
          <w:bCs/>
        </w:rPr>
      </w:pPr>
      <w:r w:rsidRPr="00690F04">
        <w:rPr>
          <w:rFonts w:cs="Arial-BoldMT"/>
          <w:b/>
          <w:bCs/>
        </w:rPr>
        <w:t>SEPSA (posocznica), stosuje się do ubezpieczenia dodatkowego na wypadek ciężkiego zachorowania –</w:t>
      </w:r>
      <w:r w:rsidRPr="00690F04">
        <w:rPr>
          <w:rFonts w:cs="Arial-BoldMT"/>
          <w:bCs/>
        </w:rPr>
        <w:t xml:space="preserve"> wystąpienie u Ubezpieczonego reakcji zapalnej wynikającej z zakażenia wywołanego obecnością chorobotwórczych bakterii we krwi krążącej.</w:t>
      </w:r>
    </w:p>
    <w:p w:rsidR="00592251" w:rsidRPr="00690F04" w:rsidRDefault="00592251" w:rsidP="00690F04">
      <w:pPr>
        <w:pStyle w:val="Akapitzlist"/>
        <w:numPr>
          <w:ilvl w:val="0"/>
          <w:numId w:val="9"/>
        </w:numPr>
        <w:autoSpaceDE w:val="0"/>
        <w:autoSpaceDN w:val="0"/>
        <w:adjustRightInd w:val="0"/>
        <w:spacing w:after="0" w:line="240" w:lineRule="auto"/>
        <w:ind w:left="567" w:hanging="425"/>
        <w:jc w:val="both"/>
        <w:rPr>
          <w:rFonts w:cs="Arial-BoldMT"/>
          <w:b/>
          <w:bCs/>
        </w:rPr>
      </w:pPr>
      <w:r w:rsidRPr="00690F04">
        <w:rPr>
          <w:rFonts w:cs="Arial-BoldMT"/>
          <w:b/>
          <w:bCs/>
        </w:rPr>
        <w:t>Gruźlica, stosuje się do ubezpieczenia dodatkowego na wypadek ciężkiego zachorowania</w:t>
      </w:r>
      <w:r w:rsidRPr="00690F04">
        <w:rPr>
          <w:rFonts w:cs="Arial-BoldMT"/>
          <w:bCs/>
        </w:rPr>
        <w:t xml:space="preserve">, </w:t>
      </w:r>
      <w:r w:rsidRPr="00690F04">
        <w:rPr>
          <w:rFonts w:cs="Arial-BoldMT"/>
          <w:b/>
          <w:bCs/>
        </w:rPr>
        <w:t xml:space="preserve"> -  </w:t>
      </w:r>
      <w:r w:rsidRPr="00690F04">
        <w:rPr>
          <w:rFonts w:cs="Arial-BoldMT"/>
          <w:bCs/>
        </w:rPr>
        <w:t>zakażenie prądkiem gruźlicy z zajęciem płuc lub którejkolwiek z wymienionych struktur poza płucnych : opłucnej, węzłów chłonnych, układu moczowo – płciowego, kości, stawów, opon mózgowo-rdzeniowych, mózgu, rozpoznanie na podstawie dodatniego badania bakteriologicznego, badania histopatologicznego lub radiologicznego wymagające leczenia przeciwprądkowego w warunkach szpitalnych.</w:t>
      </w:r>
    </w:p>
    <w:p w:rsidR="00592251" w:rsidRPr="00690F04" w:rsidRDefault="00592251" w:rsidP="00690F04">
      <w:pPr>
        <w:pStyle w:val="Akapitzlist"/>
        <w:numPr>
          <w:ilvl w:val="0"/>
          <w:numId w:val="9"/>
        </w:numPr>
        <w:autoSpaceDE w:val="0"/>
        <w:autoSpaceDN w:val="0"/>
        <w:adjustRightInd w:val="0"/>
        <w:spacing w:after="0" w:line="240" w:lineRule="auto"/>
        <w:ind w:left="567" w:hanging="425"/>
        <w:jc w:val="both"/>
        <w:rPr>
          <w:rFonts w:cs="Arial-BoldMT"/>
          <w:b/>
          <w:bCs/>
        </w:rPr>
      </w:pPr>
      <w:r w:rsidRPr="00690F04">
        <w:rPr>
          <w:rFonts w:cs="Arial-BoldMT"/>
          <w:b/>
          <w:bCs/>
        </w:rPr>
        <w:t>Bolerioza, stosuje się do ubezpieczenia dodatkowego na wypadek ciężkiego zachorowania</w:t>
      </w:r>
      <w:r w:rsidRPr="00690F04">
        <w:rPr>
          <w:rFonts w:cs="Arial-BoldMT"/>
          <w:bCs/>
        </w:rPr>
        <w:t xml:space="preserve">, </w:t>
      </w:r>
      <w:r w:rsidRPr="00690F04">
        <w:rPr>
          <w:rFonts w:cs="Arial-BoldMT"/>
          <w:b/>
          <w:bCs/>
        </w:rPr>
        <w:t xml:space="preserve"> -  </w:t>
      </w:r>
      <w:r w:rsidRPr="00690F04">
        <w:rPr>
          <w:rFonts w:cs="Arial-BoldMT"/>
          <w:bCs/>
        </w:rPr>
        <w:t xml:space="preserve">to krętkowica przenoszona przez kleszcze. Choroba przebiega z różnymi objawami m.in. rumieniem, zapaleniem stawów, mięśnia sercowego, objawami neurologicznymi skutkującymi koniecznośćią leczenia szpitalnego. Zdiagnozowanie u Ubezpieczonego choroby skutkujące hospitalizacją powinno być jednoznacznie potwierdzone przez lekarza specjalistę chorób zakaźnych wraz ze wskaźnikami właściwego kodu choroby (A69.2) według międzynarodowej statystycznej klasyfikacji chorób </w:t>
      </w:r>
      <w:r w:rsidR="00BE478C" w:rsidRPr="00690F04">
        <w:rPr>
          <w:rFonts w:cs="Arial-BoldMT"/>
          <w:bCs/>
        </w:rPr>
        <w:t>problemów zdrowotnych ICD 10 i podanie w karcie informacyjnej leczenia szpitalnego. Rozpoznanie musi być potwierdzone dodatnim wynikiem swoistego badania immunologicznego.</w:t>
      </w:r>
    </w:p>
    <w:p w:rsidR="00AD1529" w:rsidRPr="00690F04" w:rsidRDefault="00AD1529" w:rsidP="00690F04">
      <w:pPr>
        <w:pStyle w:val="Akapitzlist"/>
        <w:numPr>
          <w:ilvl w:val="0"/>
          <w:numId w:val="9"/>
        </w:numPr>
        <w:autoSpaceDE w:val="0"/>
        <w:autoSpaceDN w:val="0"/>
        <w:adjustRightInd w:val="0"/>
        <w:spacing w:after="0" w:line="240" w:lineRule="auto"/>
        <w:ind w:left="567" w:hanging="425"/>
        <w:jc w:val="both"/>
        <w:rPr>
          <w:rFonts w:cs="Arial-BoldMT"/>
          <w:b/>
          <w:bCs/>
        </w:rPr>
      </w:pPr>
      <w:r w:rsidRPr="00690F04">
        <w:rPr>
          <w:rFonts w:cs="Arial-BoldMT"/>
          <w:b/>
          <w:bCs/>
        </w:rPr>
        <w:t xml:space="preserve">Operacje chirurgiczne – </w:t>
      </w:r>
      <w:r w:rsidRPr="00690F04">
        <w:rPr>
          <w:rFonts w:cs="Arial-BoldMT"/>
          <w:bCs/>
        </w:rPr>
        <w:t xml:space="preserve">Wykonawca ponosi odpowiedzialność za operacje chirurgiczne wykonywane metodą endoskopową, zamkniętą oraz otwartą wymienione w katalogu operacji chirurgicznych (prosimy o załączenie w ofercie katalogu operacji chirurgicznych) wykonane w placówce medycznej na terytorium RP, przez lekarza o specjalności zabiegowej, w znieczuleniu ogólnym, przewodowym lub miejscowym, niezbędnym z medycznego punktu widzenia w celu wyleczenia lub zmniejszenia objawów choroby lub urazu w czasie trwania odpowiedzialności w stosunku do danego ubezpieczonego. Jeżeli OWU </w:t>
      </w:r>
      <w:r w:rsidR="004363D9" w:rsidRPr="00690F04">
        <w:rPr>
          <w:rFonts w:cs="Arial-BoldMT"/>
          <w:bCs/>
        </w:rPr>
        <w:t>/ Ogólne Warunki Dodatkowego ubezpieczenia Wykonawcy przewidują podział operacji na 3 klasy, świadczenie z tytułu operacji chirurgicznych powinny być przyporządkowane następująco :</w:t>
      </w:r>
    </w:p>
    <w:p w:rsidR="004363D9" w:rsidRPr="00690F04" w:rsidRDefault="004363D9" w:rsidP="00690F04">
      <w:pPr>
        <w:pStyle w:val="Akapitzlist"/>
        <w:autoSpaceDE w:val="0"/>
        <w:autoSpaceDN w:val="0"/>
        <w:adjustRightInd w:val="0"/>
        <w:spacing w:after="0" w:line="240" w:lineRule="auto"/>
        <w:ind w:left="567"/>
        <w:jc w:val="both"/>
        <w:rPr>
          <w:rFonts w:cs="Arial-BoldMT"/>
          <w:bCs/>
        </w:rPr>
      </w:pPr>
      <w:r w:rsidRPr="00690F04">
        <w:rPr>
          <w:rFonts w:cs="Arial-BoldMT"/>
          <w:b/>
          <w:bCs/>
        </w:rPr>
        <w:t xml:space="preserve">- dla I klasy operacji </w:t>
      </w:r>
      <w:r w:rsidRPr="00690F04">
        <w:rPr>
          <w:rFonts w:cs="Arial-BoldMT"/>
          <w:bCs/>
        </w:rPr>
        <w:t xml:space="preserve">– </w:t>
      </w:r>
      <w:r w:rsidRPr="00690F04">
        <w:rPr>
          <w:rFonts w:cs="Arial-BoldMT"/>
          <w:b/>
          <w:bCs/>
        </w:rPr>
        <w:t>100 %</w:t>
      </w:r>
      <w:r w:rsidRPr="00690F04">
        <w:rPr>
          <w:rFonts w:cs="Arial-BoldMT"/>
          <w:bCs/>
        </w:rPr>
        <w:t xml:space="preserve"> sumy ubezpieczenia </w:t>
      </w:r>
    </w:p>
    <w:p w:rsidR="004363D9" w:rsidRPr="00690F04" w:rsidRDefault="004363D9" w:rsidP="00690F04">
      <w:pPr>
        <w:pStyle w:val="Akapitzlist"/>
        <w:autoSpaceDE w:val="0"/>
        <w:autoSpaceDN w:val="0"/>
        <w:adjustRightInd w:val="0"/>
        <w:spacing w:after="0" w:line="240" w:lineRule="auto"/>
        <w:ind w:left="567"/>
        <w:jc w:val="both"/>
        <w:rPr>
          <w:rFonts w:cs="Arial-BoldMT"/>
          <w:bCs/>
        </w:rPr>
      </w:pPr>
      <w:r w:rsidRPr="00690F04">
        <w:rPr>
          <w:rFonts w:cs="Arial-BoldMT"/>
          <w:b/>
          <w:bCs/>
        </w:rPr>
        <w:t xml:space="preserve">- dla II klasy operacji – </w:t>
      </w:r>
      <w:r w:rsidR="0095561C" w:rsidRPr="00690F04">
        <w:rPr>
          <w:rFonts w:cs="Arial-BoldMT"/>
          <w:b/>
          <w:bCs/>
        </w:rPr>
        <w:t xml:space="preserve">minimum </w:t>
      </w:r>
      <w:r w:rsidRPr="00690F04">
        <w:rPr>
          <w:rFonts w:cs="Arial-BoldMT"/>
          <w:b/>
          <w:bCs/>
        </w:rPr>
        <w:t>50%</w:t>
      </w:r>
      <w:r w:rsidRPr="00690F04">
        <w:rPr>
          <w:rFonts w:cs="Arial-BoldMT"/>
          <w:bCs/>
        </w:rPr>
        <w:t xml:space="preserve"> sumy ubezpieczenia</w:t>
      </w:r>
    </w:p>
    <w:p w:rsidR="004363D9" w:rsidRPr="00690F04" w:rsidRDefault="004363D9" w:rsidP="00690F04">
      <w:pPr>
        <w:pStyle w:val="Akapitzlist"/>
        <w:autoSpaceDE w:val="0"/>
        <w:autoSpaceDN w:val="0"/>
        <w:adjustRightInd w:val="0"/>
        <w:spacing w:after="0" w:line="240" w:lineRule="auto"/>
        <w:ind w:left="567"/>
        <w:jc w:val="both"/>
        <w:rPr>
          <w:rFonts w:cs="Arial-BoldMT"/>
          <w:bCs/>
        </w:rPr>
      </w:pPr>
      <w:r w:rsidRPr="00690F04">
        <w:rPr>
          <w:rFonts w:cs="Arial-BoldMT"/>
          <w:b/>
          <w:bCs/>
        </w:rPr>
        <w:t xml:space="preserve">-dla III klasy operacji – </w:t>
      </w:r>
      <w:r w:rsidR="0095561C" w:rsidRPr="00690F04">
        <w:rPr>
          <w:rFonts w:cs="Arial-BoldMT"/>
          <w:b/>
          <w:bCs/>
        </w:rPr>
        <w:t xml:space="preserve">minimum </w:t>
      </w:r>
      <w:r w:rsidRPr="00690F04">
        <w:rPr>
          <w:rFonts w:cs="Arial-BoldMT"/>
          <w:b/>
          <w:bCs/>
        </w:rPr>
        <w:t>30%</w:t>
      </w:r>
      <w:r w:rsidRPr="00690F04">
        <w:rPr>
          <w:rFonts w:cs="Arial-BoldMT"/>
          <w:bCs/>
        </w:rPr>
        <w:t xml:space="preserve"> sumy ubezpieczenia</w:t>
      </w:r>
    </w:p>
    <w:p w:rsidR="004363D9" w:rsidRPr="00690F04" w:rsidRDefault="004363D9" w:rsidP="00690F04">
      <w:pPr>
        <w:pStyle w:val="Akapitzlist"/>
        <w:autoSpaceDE w:val="0"/>
        <w:autoSpaceDN w:val="0"/>
        <w:adjustRightInd w:val="0"/>
        <w:spacing w:after="0" w:line="240" w:lineRule="auto"/>
        <w:ind w:left="567"/>
        <w:jc w:val="both"/>
        <w:rPr>
          <w:rFonts w:cs="Arial-BoldMT"/>
          <w:bCs/>
        </w:rPr>
      </w:pPr>
      <w:r w:rsidRPr="00690F04">
        <w:rPr>
          <w:rFonts w:cs="Arial-BoldMT"/>
          <w:bCs/>
        </w:rPr>
        <w:t>Jeśli OWU wykonawcy przewidują podział operacji na 5 klas to wypłata świadczenia winna wynosić odpowiednio :</w:t>
      </w:r>
    </w:p>
    <w:p w:rsidR="004363D9" w:rsidRPr="00690F04" w:rsidRDefault="004363D9" w:rsidP="00690F04">
      <w:pPr>
        <w:pStyle w:val="Akapitzlist"/>
        <w:autoSpaceDE w:val="0"/>
        <w:autoSpaceDN w:val="0"/>
        <w:adjustRightInd w:val="0"/>
        <w:spacing w:after="0" w:line="240" w:lineRule="auto"/>
        <w:ind w:left="567"/>
        <w:jc w:val="both"/>
        <w:rPr>
          <w:rFonts w:cs="Arial-BoldMT"/>
          <w:bCs/>
        </w:rPr>
      </w:pPr>
      <w:r w:rsidRPr="00690F04">
        <w:rPr>
          <w:rFonts w:cs="Arial-BoldMT"/>
          <w:bCs/>
        </w:rPr>
        <w:t xml:space="preserve">- </w:t>
      </w:r>
      <w:r w:rsidRPr="00690F04">
        <w:rPr>
          <w:rFonts w:cs="Arial-BoldMT"/>
          <w:b/>
          <w:bCs/>
        </w:rPr>
        <w:t xml:space="preserve">dla I klasy operacji – 100 % </w:t>
      </w:r>
      <w:r w:rsidRPr="00690F04">
        <w:rPr>
          <w:rFonts w:cs="Arial-BoldMT"/>
          <w:bCs/>
        </w:rPr>
        <w:t>sumy ubezpieczenia</w:t>
      </w:r>
    </w:p>
    <w:p w:rsidR="004363D9" w:rsidRPr="00690F04" w:rsidRDefault="004363D9" w:rsidP="00690F04">
      <w:pPr>
        <w:pStyle w:val="Akapitzlist"/>
        <w:autoSpaceDE w:val="0"/>
        <w:autoSpaceDN w:val="0"/>
        <w:adjustRightInd w:val="0"/>
        <w:spacing w:after="0" w:line="240" w:lineRule="auto"/>
        <w:ind w:left="567"/>
        <w:jc w:val="both"/>
        <w:rPr>
          <w:rFonts w:cs="Arial-BoldMT"/>
          <w:bCs/>
        </w:rPr>
      </w:pPr>
      <w:r w:rsidRPr="00690F04">
        <w:rPr>
          <w:rFonts w:cs="Arial-BoldMT"/>
          <w:bCs/>
        </w:rPr>
        <w:t xml:space="preserve">- </w:t>
      </w:r>
      <w:r w:rsidRPr="00690F04">
        <w:rPr>
          <w:rFonts w:cs="Arial-BoldMT"/>
          <w:b/>
          <w:bCs/>
        </w:rPr>
        <w:t xml:space="preserve">dla II i III klasy operacji – </w:t>
      </w:r>
      <w:r w:rsidR="0095561C" w:rsidRPr="00690F04">
        <w:rPr>
          <w:rFonts w:cs="Arial-BoldMT"/>
          <w:b/>
          <w:bCs/>
        </w:rPr>
        <w:t xml:space="preserve">minimum </w:t>
      </w:r>
      <w:r w:rsidRPr="00690F04">
        <w:rPr>
          <w:rFonts w:cs="Arial-BoldMT"/>
          <w:b/>
          <w:bCs/>
        </w:rPr>
        <w:t>50%</w:t>
      </w:r>
      <w:r w:rsidRPr="00690F04">
        <w:rPr>
          <w:rFonts w:cs="Arial-BoldMT"/>
          <w:bCs/>
        </w:rPr>
        <w:t xml:space="preserve"> sumy ubezpieczenia</w:t>
      </w:r>
    </w:p>
    <w:p w:rsidR="004363D9" w:rsidRPr="00690F04" w:rsidRDefault="004363D9" w:rsidP="00690F04">
      <w:pPr>
        <w:pStyle w:val="Akapitzlist"/>
        <w:autoSpaceDE w:val="0"/>
        <w:autoSpaceDN w:val="0"/>
        <w:adjustRightInd w:val="0"/>
        <w:spacing w:after="0" w:line="240" w:lineRule="auto"/>
        <w:ind w:left="567"/>
        <w:jc w:val="both"/>
        <w:rPr>
          <w:rFonts w:cs="Arial-BoldMT"/>
          <w:bCs/>
        </w:rPr>
      </w:pPr>
      <w:r w:rsidRPr="00690F04">
        <w:rPr>
          <w:rFonts w:cs="Arial-BoldMT"/>
          <w:bCs/>
        </w:rPr>
        <w:t>-</w:t>
      </w:r>
      <w:r w:rsidRPr="00690F04">
        <w:rPr>
          <w:rFonts w:cs="Arial-BoldMT"/>
          <w:b/>
          <w:bCs/>
        </w:rPr>
        <w:t xml:space="preserve"> dla IV i V klasy operacji – </w:t>
      </w:r>
      <w:r w:rsidR="0095561C" w:rsidRPr="00690F04">
        <w:rPr>
          <w:rFonts w:cs="Arial-BoldMT"/>
          <w:b/>
          <w:bCs/>
        </w:rPr>
        <w:t>minimum 10%</w:t>
      </w:r>
      <w:r w:rsidRPr="00690F04">
        <w:rPr>
          <w:rFonts w:cs="Arial-BoldMT"/>
          <w:bCs/>
        </w:rPr>
        <w:t>sumy ubezpieczenia</w:t>
      </w:r>
    </w:p>
    <w:p w:rsidR="004363D9" w:rsidRPr="00690F04" w:rsidRDefault="004363D9" w:rsidP="00690F04">
      <w:pPr>
        <w:pStyle w:val="Akapitzlist"/>
        <w:autoSpaceDE w:val="0"/>
        <w:autoSpaceDN w:val="0"/>
        <w:adjustRightInd w:val="0"/>
        <w:spacing w:after="0" w:line="240" w:lineRule="auto"/>
        <w:ind w:left="567"/>
        <w:jc w:val="both"/>
        <w:rPr>
          <w:rFonts w:cs="Arial-BoldMT"/>
          <w:b/>
          <w:bCs/>
        </w:rPr>
      </w:pPr>
      <w:r w:rsidRPr="00690F04">
        <w:rPr>
          <w:rFonts w:cs="Arial-BoldMT"/>
          <w:b/>
          <w:bCs/>
        </w:rPr>
        <w:t>Minimalny katalog operacji winien obejmować 520 pozycji</w:t>
      </w:r>
    </w:p>
    <w:p w:rsidR="004363D9" w:rsidRPr="00690F04" w:rsidRDefault="004363D9" w:rsidP="00690F04">
      <w:pPr>
        <w:pStyle w:val="Akapitzlist"/>
        <w:numPr>
          <w:ilvl w:val="0"/>
          <w:numId w:val="9"/>
        </w:numPr>
        <w:autoSpaceDE w:val="0"/>
        <w:autoSpaceDN w:val="0"/>
        <w:adjustRightInd w:val="0"/>
        <w:spacing w:after="0" w:line="240" w:lineRule="auto"/>
        <w:ind w:left="567" w:hanging="425"/>
        <w:jc w:val="both"/>
        <w:rPr>
          <w:rFonts w:cs="Arial-BoldMT"/>
          <w:bCs/>
        </w:rPr>
      </w:pPr>
      <w:r w:rsidRPr="00690F04">
        <w:rPr>
          <w:rFonts w:cs="Arial-BoldMT"/>
          <w:b/>
          <w:bCs/>
        </w:rPr>
        <w:t xml:space="preserve">Pobyt w szpitalu – </w:t>
      </w:r>
      <w:r w:rsidRPr="00690F04">
        <w:rPr>
          <w:rFonts w:cs="Arial-BoldMT"/>
          <w:bCs/>
        </w:rPr>
        <w:t>zgodnie z OWU Wykonawcy, ale w znaczeniu nie węższym jak :</w:t>
      </w:r>
    </w:p>
    <w:p w:rsidR="004363D9" w:rsidRPr="00690F04" w:rsidRDefault="004363D9" w:rsidP="00690F04">
      <w:pPr>
        <w:autoSpaceDE w:val="0"/>
        <w:autoSpaceDN w:val="0"/>
        <w:adjustRightInd w:val="0"/>
        <w:spacing w:after="0" w:line="240" w:lineRule="auto"/>
        <w:ind w:left="567" w:hanging="425"/>
        <w:jc w:val="both"/>
        <w:rPr>
          <w:rFonts w:cs="Arial-BoldMT"/>
          <w:bCs/>
        </w:rPr>
      </w:pPr>
      <w:r w:rsidRPr="00690F04">
        <w:rPr>
          <w:rFonts w:cs="Arial-BoldMT"/>
          <w:bCs/>
        </w:rPr>
        <w:lastRenderedPageBreak/>
        <w:tab/>
        <w:t>Wykonawca wypłaca świadczenie z tytułu pobytu w szpitalu za każdy dzień pobytu minimum za 90 dni w każdym 12 miesięcznym okresie ubezpieczenia w przypadku gdy :</w:t>
      </w:r>
    </w:p>
    <w:p w:rsidR="004363D9" w:rsidRPr="00690F04" w:rsidRDefault="004363D9" w:rsidP="00690F04">
      <w:pPr>
        <w:autoSpaceDE w:val="0"/>
        <w:autoSpaceDN w:val="0"/>
        <w:adjustRightInd w:val="0"/>
        <w:spacing w:after="0" w:line="240" w:lineRule="auto"/>
        <w:ind w:left="567" w:hanging="284"/>
        <w:jc w:val="both"/>
        <w:rPr>
          <w:rFonts w:cs="Arial-BoldMT"/>
          <w:bCs/>
        </w:rPr>
      </w:pPr>
      <w:r w:rsidRPr="00690F04">
        <w:rPr>
          <w:rFonts w:cs="Arial-BoldMT"/>
          <w:bCs/>
        </w:rPr>
        <w:tab/>
        <w:t>a) pobyt spowodowany nieszczęśliwym wypadkiem trwał minimum 1 dzień</w:t>
      </w:r>
    </w:p>
    <w:p w:rsidR="004363D9" w:rsidRPr="00690F04" w:rsidRDefault="004363D9" w:rsidP="00690F04">
      <w:pPr>
        <w:autoSpaceDE w:val="0"/>
        <w:autoSpaceDN w:val="0"/>
        <w:adjustRightInd w:val="0"/>
        <w:spacing w:after="0" w:line="240" w:lineRule="auto"/>
        <w:ind w:left="567" w:hanging="284"/>
        <w:jc w:val="both"/>
        <w:rPr>
          <w:rFonts w:cs="Arial-BoldMT"/>
          <w:bCs/>
        </w:rPr>
      </w:pPr>
      <w:r w:rsidRPr="00690F04">
        <w:rPr>
          <w:rFonts w:cs="Arial-BoldMT"/>
          <w:bCs/>
        </w:rPr>
        <w:tab/>
        <w:t>b) pobyt spowodowany chorobą lub zawałem serca lub udarem mózgu trwał minimum 3 dni</w:t>
      </w:r>
    </w:p>
    <w:p w:rsidR="004363D9" w:rsidRPr="00690F04" w:rsidRDefault="00452975" w:rsidP="00690F04">
      <w:pPr>
        <w:autoSpaceDE w:val="0"/>
        <w:autoSpaceDN w:val="0"/>
        <w:adjustRightInd w:val="0"/>
        <w:spacing w:after="0" w:line="240" w:lineRule="auto"/>
        <w:ind w:left="567" w:hanging="284"/>
        <w:jc w:val="both"/>
        <w:rPr>
          <w:rFonts w:cs="Arial-BoldMT"/>
          <w:bCs/>
        </w:rPr>
      </w:pPr>
      <w:r w:rsidRPr="00690F04">
        <w:rPr>
          <w:rFonts w:cs="Arial-BoldMT"/>
          <w:bCs/>
        </w:rPr>
        <w:tab/>
        <w:t>Wymaga się, aby podwyższona kwota dziennego świadczenia z tytułu pobytu ubezpieczonego w szpitalu spowodowanego nieszczęśliwym wypadkiem, nieszczęśliwym wypadkiem komunikacyjnym, nieszczęśliwym wypadkiem przy pracy , zawałem serca lub krwotokiem śródmózgowym należna była za minimum 14 dni pobytu w szpitalu</w:t>
      </w:r>
    </w:p>
    <w:p w:rsidR="00452975" w:rsidRPr="00690F04" w:rsidRDefault="00452975" w:rsidP="00690F04">
      <w:pPr>
        <w:pStyle w:val="Akapitzlist"/>
        <w:numPr>
          <w:ilvl w:val="0"/>
          <w:numId w:val="9"/>
        </w:numPr>
        <w:autoSpaceDE w:val="0"/>
        <w:autoSpaceDN w:val="0"/>
        <w:adjustRightInd w:val="0"/>
        <w:spacing w:after="0" w:line="240" w:lineRule="auto"/>
        <w:ind w:left="567" w:hanging="425"/>
        <w:jc w:val="both"/>
        <w:rPr>
          <w:rFonts w:cs="Arial-BoldMT"/>
          <w:bCs/>
        </w:rPr>
      </w:pPr>
      <w:r w:rsidRPr="00690F04">
        <w:rPr>
          <w:rFonts w:cs="Arial-BoldMT"/>
          <w:b/>
          <w:bCs/>
        </w:rPr>
        <w:t xml:space="preserve">Pobyt na OIOM/OIT – </w:t>
      </w:r>
      <w:r w:rsidRPr="00690F04">
        <w:rPr>
          <w:rFonts w:cs="Arial-BoldMT"/>
          <w:bCs/>
        </w:rPr>
        <w:t>świadczenie powinno obejmować pobyt Ubezpieczonego w szpitalu na skutek choroby lub wypadku, w pomieszczeniu przeznaczonym wyłącznie intensywnej opiece medycznej, trwający nieprzerwanie co najmniej 48 godzin (dopuszcza się możliwość wypłaty dodatkowego świadczenia dziennego, w stosunku do podstawowego świadczenia szpitalnego, za każdy dzień pobytu ubezpieczonego na OIOM/OIT w wysokości nie  mniejszej jak 120 zł w Wariancie I</w:t>
      </w:r>
      <w:r w:rsidR="00C16F74">
        <w:rPr>
          <w:rFonts w:cs="Arial-BoldMT"/>
          <w:bCs/>
        </w:rPr>
        <w:t xml:space="preserve">, </w:t>
      </w:r>
      <w:r w:rsidRPr="00690F04">
        <w:rPr>
          <w:rFonts w:cs="Arial-BoldMT"/>
          <w:bCs/>
        </w:rPr>
        <w:t xml:space="preserve"> 130 zł w Wariancie II</w:t>
      </w:r>
      <w:r w:rsidR="00C16F74">
        <w:rPr>
          <w:rFonts w:cs="Arial-BoldMT"/>
          <w:bCs/>
        </w:rPr>
        <w:t xml:space="preserve"> i 140 zł w Wariancie III</w:t>
      </w:r>
      <w:r w:rsidRPr="00690F04">
        <w:rPr>
          <w:rFonts w:cs="Arial-BoldMT"/>
          <w:bCs/>
        </w:rPr>
        <w:t>, należnego za minimum 5 dni pobytu na OIOM/OIT</w:t>
      </w:r>
    </w:p>
    <w:p w:rsidR="00452975" w:rsidRPr="00690F04" w:rsidRDefault="00452975" w:rsidP="00690F04">
      <w:pPr>
        <w:pStyle w:val="Akapitzlist"/>
        <w:numPr>
          <w:ilvl w:val="0"/>
          <w:numId w:val="9"/>
        </w:numPr>
        <w:autoSpaceDE w:val="0"/>
        <w:autoSpaceDN w:val="0"/>
        <w:adjustRightInd w:val="0"/>
        <w:spacing w:after="0" w:line="240" w:lineRule="auto"/>
        <w:ind w:left="567" w:hanging="425"/>
        <w:jc w:val="both"/>
        <w:rPr>
          <w:rFonts w:cs="Arial-BoldMT"/>
          <w:bCs/>
        </w:rPr>
      </w:pPr>
      <w:r w:rsidRPr="00690F04">
        <w:rPr>
          <w:rFonts w:cs="Arial-BoldMT"/>
          <w:b/>
          <w:bCs/>
        </w:rPr>
        <w:t>Rekonwalescencja –</w:t>
      </w:r>
      <w:r w:rsidRPr="00690F04">
        <w:rPr>
          <w:rFonts w:cs="Arial-BoldMT"/>
          <w:bCs/>
        </w:rPr>
        <w:t xml:space="preserve"> Zgodnie z OWU Wykonawcy, ale w znaczeniu nie węższym jak świadczenie wypłacane za minimum 30 dni trwającego nieprzerwanie, bezpośrednio po co najmniej 14 dniowym pobycie w szpitalu, pobyt na zwolnieniu lekarskim wydanym przez oddział szpitalny, w którym odbywało się leczenie szpitalne; świadczenie wypłacane za każdy dzień zwolnienia lekarskiego; wymaga się zagwarantowania łącznie wypłaty za minimum 90 dni rekonwalescencji w każdym okresie kolejnych 12 miesięcy, trwającym między rocznicami polisy.</w:t>
      </w:r>
    </w:p>
    <w:p w:rsidR="00452975" w:rsidRPr="00690F04" w:rsidRDefault="00452975" w:rsidP="00690F04">
      <w:pPr>
        <w:pStyle w:val="Akapitzlist"/>
        <w:numPr>
          <w:ilvl w:val="0"/>
          <w:numId w:val="9"/>
        </w:numPr>
        <w:autoSpaceDE w:val="0"/>
        <w:autoSpaceDN w:val="0"/>
        <w:adjustRightInd w:val="0"/>
        <w:spacing w:after="0" w:line="240" w:lineRule="auto"/>
        <w:ind w:left="567" w:hanging="425"/>
        <w:jc w:val="both"/>
        <w:rPr>
          <w:rFonts w:cs="Arial-BoldMT"/>
          <w:bCs/>
        </w:rPr>
      </w:pPr>
      <w:r w:rsidRPr="00690F04">
        <w:rPr>
          <w:rFonts w:cs="Arial-BoldMT"/>
          <w:b/>
          <w:bCs/>
        </w:rPr>
        <w:t>Leczenie specjalistyczne –</w:t>
      </w:r>
      <w:r w:rsidRPr="00690F04">
        <w:rPr>
          <w:rFonts w:cs="Arial-BoldMT"/>
          <w:bCs/>
        </w:rPr>
        <w:t xml:space="preserve"> przeprowadzenie u Ubezpieczonego w okresie odpowiedzialności Wykonawcy specjalistycznego leczenia, co najmniej :</w:t>
      </w:r>
    </w:p>
    <w:p w:rsidR="00452975" w:rsidRPr="00690F04" w:rsidRDefault="00452975" w:rsidP="00690F04">
      <w:pPr>
        <w:pStyle w:val="Akapitzlist"/>
        <w:autoSpaceDE w:val="0"/>
        <w:autoSpaceDN w:val="0"/>
        <w:adjustRightInd w:val="0"/>
        <w:spacing w:after="0" w:line="240" w:lineRule="auto"/>
        <w:ind w:left="567"/>
        <w:jc w:val="both"/>
        <w:rPr>
          <w:rFonts w:cs="Arial-BoldMT"/>
          <w:bCs/>
        </w:rPr>
      </w:pPr>
      <w:r w:rsidRPr="00690F04">
        <w:rPr>
          <w:rFonts w:cs="Arial-BoldMT"/>
          <w:bCs/>
        </w:rPr>
        <w:t>a) chemioterapia – metoda systemowego leczenia choroby nowotworowej za pomocą przynajmniej jednego leku przeciwnowotworowego z grupy leków L według klasyfikacji ATC podanego drogą pozajelitową</w:t>
      </w:r>
    </w:p>
    <w:p w:rsidR="00452975" w:rsidRPr="00690F04" w:rsidRDefault="00452975" w:rsidP="00690F04">
      <w:pPr>
        <w:pStyle w:val="Akapitzlist"/>
        <w:autoSpaceDE w:val="0"/>
        <w:autoSpaceDN w:val="0"/>
        <w:adjustRightInd w:val="0"/>
        <w:spacing w:after="0" w:line="240" w:lineRule="auto"/>
        <w:ind w:left="567"/>
        <w:jc w:val="both"/>
        <w:rPr>
          <w:rFonts w:cs="Arial-BoldMT"/>
          <w:bCs/>
        </w:rPr>
      </w:pPr>
      <w:r w:rsidRPr="00690F04">
        <w:rPr>
          <w:rFonts w:cs="Arial-BoldMT"/>
          <w:bCs/>
        </w:rPr>
        <w:t>b) radioterapia – leczenie choroby nowotworowej za pomocą promieniowania jonizującego</w:t>
      </w:r>
    </w:p>
    <w:p w:rsidR="00452975" w:rsidRPr="00690F04" w:rsidRDefault="00452975" w:rsidP="00690F04">
      <w:pPr>
        <w:pStyle w:val="Akapitzlist"/>
        <w:autoSpaceDE w:val="0"/>
        <w:autoSpaceDN w:val="0"/>
        <w:adjustRightInd w:val="0"/>
        <w:spacing w:after="0" w:line="240" w:lineRule="auto"/>
        <w:ind w:left="567"/>
        <w:jc w:val="both"/>
        <w:rPr>
          <w:rFonts w:cs="Arial-BoldMT"/>
          <w:bCs/>
        </w:rPr>
      </w:pPr>
      <w:r w:rsidRPr="00690F04">
        <w:rPr>
          <w:rFonts w:cs="Arial-BoldMT"/>
          <w:bCs/>
        </w:rPr>
        <w:t xml:space="preserve">c) terapia interferonowa – podawanie drogą </w:t>
      </w:r>
      <w:r w:rsidR="003B12D0" w:rsidRPr="00690F04">
        <w:rPr>
          <w:rFonts w:cs="Arial-BoldMT"/>
          <w:bCs/>
        </w:rPr>
        <w:t>pozajelitową interferonu jako metoda leczenia przewlekłego wirusowego zapalenia wątroby typu C</w:t>
      </w:r>
    </w:p>
    <w:p w:rsidR="003B12D0" w:rsidRPr="00690F04" w:rsidRDefault="003B12D0" w:rsidP="00690F04">
      <w:pPr>
        <w:pStyle w:val="Akapitzlist"/>
        <w:autoSpaceDE w:val="0"/>
        <w:autoSpaceDN w:val="0"/>
        <w:adjustRightInd w:val="0"/>
        <w:spacing w:after="0" w:line="240" w:lineRule="auto"/>
        <w:ind w:left="567"/>
        <w:jc w:val="both"/>
        <w:rPr>
          <w:rFonts w:cs="Arial-BoldMT"/>
          <w:bCs/>
        </w:rPr>
      </w:pPr>
      <w:r w:rsidRPr="00690F04">
        <w:rPr>
          <w:rFonts w:cs="Arial-BoldMT"/>
          <w:bCs/>
        </w:rPr>
        <w:t>d) kardiowerter / defibrylator – urządzenie elektroniczne z funkcją detekcyjną i defibrylacyjną wszczepiane chorym, którzy mają poważne zaburzenia rytmu pochodzenia komorowego lub epizody nagłego zatrzymania krążenia</w:t>
      </w:r>
    </w:p>
    <w:p w:rsidR="003B12D0" w:rsidRPr="00690F04" w:rsidRDefault="003B12D0" w:rsidP="00690F04">
      <w:pPr>
        <w:pStyle w:val="Akapitzlist"/>
        <w:autoSpaceDE w:val="0"/>
        <w:autoSpaceDN w:val="0"/>
        <w:adjustRightInd w:val="0"/>
        <w:spacing w:after="0" w:line="240" w:lineRule="auto"/>
        <w:ind w:left="567"/>
        <w:jc w:val="both"/>
        <w:rPr>
          <w:rFonts w:cs="Arial-BoldMT"/>
          <w:bCs/>
        </w:rPr>
      </w:pPr>
      <w:r w:rsidRPr="00690F04">
        <w:rPr>
          <w:rFonts w:cs="Arial-BoldMT"/>
          <w:bCs/>
        </w:rPr>
        <w:t xml:space="preserve">e) rozrusznik serca (stymulator serca, kardiostymulator) urządzenie elektroniczne służące do pobudzania rytmu serca wszczepiane do ciała chorego </w:t>
      </w:r>
    </w:p>
    <w:p w:rsidR="003B12D0" w:rsidRPr="00690F04" w:rsidRDefault="003B12D0" w:rsidP="00690F04">
      <w:pPr>
        <w:pStyle w:val="Akapitzlist"/>
        <w:autoSpaceDE w:val="0"/>
        <w:autoSpaceDN w:val="0"/>
        <w:adjustRightInd w:val="0"/>
        <w:spacing w:after="0" w:line="240" w:lineRule="auto"/>
        <w:ind w:left="567"/>
        <w:jc w:val="both"/>
        <w:rPr>
          <w:rFonts w:cs="Arial-BoldMT"/>
          <w:bCs/>
        </w:rPr>
      </w:pPr>
      <w:r w:rsidRPr="00690F04">
        <w:rPr>
          <w:rFonts w:cs="Arial-BoldMT"/>
          <w:bCs/>
        </w:rPr>
        <w:t>f) ablacja – zabieg wykonywany za pomocą prądu o częstotliwości radiowej w celu leczenia zaburzeń rytmu serca.</w:t>
      </w:r>
    </w:p>
    <w:p w:rsidR="003B12D0" w:rsidRPr="00690F04" w:rsidRDefault="003B12D0" w:rsidP="00690F04">
      <w:pPr>
        <w:pStyle w:val="Akapitzlist"/>
        <w:autoSpaceDE w:val="0"/>
        <w:autoSpaceDN w:val="0"/>
        <w:adjustRightInd w:val="0"/>
        <w:spacing w:after="0" w:line="240" w:lineRule="auto"/>
        <w:ind w:left="567"/>
        <w:jc w:val="both"/>
        <w:rPr>
          <w:rFonts w:cs="Arial-BoldMT"/>
          <w:bCs/>
        </w:rPr>
      </w:pPr>
      <w:r w:rsidRPr="00690F04">
        <w:rPr>
          <w:rFonts w:cs="Arial-BoldMT"/>
          <w:bCs/>
        </w:rPr>
        <w:t>Wykonawca wypłaca 100 % sumy ubezpieczenia w dniu :</w:t>
      </w:r>
    </w:p>
    <w:p w:rsidR="003B12D0" w:rsidRPr="00690F04" w:rsidRDefault="003B12D0" w:rsidP="00690F04">
      <w:pPr>
        <w:pStyle w:val="Akapitzlist"/>
        <w:autoSpaceDE w:val="0"/>
        <w:autoSpaceDN w:val="0"/>
        <w:adjustRightInd w:val="0"/>
        <w:spacing w:after="0" w:line="240" w:lineRule="auto"/>
        <w:ind w:left="567"/>
        <w:jc w:val="both"/>
        <w:rPr>
          <w:rFonts w:cs="Arial-BoldMT"/>
          <w:bCs/>
        </w:rPr>
      </w:pPr>
      <w:r w:rsidRPr="00690F04">
        <w:rPr>
          <w:rFonts w:cs="Arial-BoldMT"/>
          <w:bCs/>
        </w:rPr>
        <w:t>- podania pierwszej dawki leku w przypadku chemioterapii i terapii interferonowej</w:t>
      </w:r>
    </w:p>
    <w:p w:rsidR="003B12D0" w:rsidRPr="00690F04" w:rsidRDefault="003B12D0" w:rsidP="00690F04">
      <w:pPr>
        <w:pStyle w:val="Akapitzlist"/>
        <w:autoSpaceDE w:val="0"/>
        <w:autoSpaceDN w:val="0"/>
        <w:adjustRightInd w:val="0"/>
        <w:spacing w:after="0" w:line="240" w:lineRule="auto"/>
        <w:ind w:left="567"/>
        <w:jc w:val="both"/>
        <w:rPr>
          <w:rFonts w:cs="Arial-BoldMT"/>
          <w:bCs/>
        </w:rPr>
      </w:pPr>
      <w:r w:rsidRPr="00690F04">
        <w:rPr>
          <w:rFonts w:cs="Arial-BoldMT"/>
          <w:bCs/>
        </w:rPr>
        <w:t>- podania pierwszej dawki promieniowania jonizującego,</w:t>
      </w:r>
    </w:p>
    <w:p w:rsidR="003B12D0" w:rsidRPr="00690F04" w:rsidRDefault="003B12D0" w:rsidP="00690F04">
      <w:pPr>
        <w:pStyle w:val="Akapitzlist"/>
        <w:autoSpaceDE w:val="0"/>
        <w:autoSpaceDN w:val="0"/>
        <w:adjustRightInd w:val="0"/>
        <w:spacing w:after="0" w:line="240" w:lineRule="auto"/>
        <w:ind w:left="567"/>
        <w:jc w:val="both"/>
        <w:rPr>
          <w:rFonts w:cs="Arial-BoldMT"/>
          <w:bCs/>
        </w:rPr>
      </w:pPr>
      <w:r w:rsidRPr="00690F04">
        <w:rPr>
          <w:rFonts w:cs="Arial-BoldMT"/>
          <w:bCs/>
        </w:rPr>
        <w:t>- wszczepienia defibrylatora, rozrusznika serca lub wykonania ablacji.</w:t>
      </w:r>
    </w:p>
    <w:p w:rsidR="003B12D0" w:rsidRPr="00690F04" w:rsidRDefault="003B12D0" w:rsidP="00690F04">
      <w:pPr>
        <w:pStyle w:val="Akapitzlist"/>
        <w:autoSpaceDE w:val="0"/>
        <w:autoSpaceDN w:val="0"/>
        <w:adjustRightInd w:val="0"/>
        <w:spacing w:after="0" w:line="240" w:lineRule="auto"/>
        <w:ind w:left="567"/>
        <w:jc w:val="both"/>
        <w:rPr>
          <w:rFonts w:cs="Arial-BoldMT"/>
          <w:bCs/>
        </w:rPr>
      </w:pPr>
      <w:r w:rsidRPr="00690F04">
        <w:rPr>
          <w:rFonts w:cs="Arial-BoldMT"/>
          <w:bCs/>
        </w:rPr>
        <w:t>Każde ze świadczeń wypłacane jest tylko raz, a następnie odpowiedzialność Wykonawcy z tytułu tego świadczenia wygasa.</w:t>
      </w:r>
    </w:p>
    <w:p w:rsidR="00BE478C" w:rsidRPr="00690F04" w:rsidRDefault="002E5621" w:rsidP="00690F04">
      <w:pPr>
        <w:pStyle w:val="Akapitzlist"/>
        <w:numPr>
          <w:ilvl w:val="0"/>
          <w:numId w:val="9"/>
        </w:numPr>
        <w:autoSpaceDE w:val="0"/>
        <w:autoSpaceDN w:val="0"/>
        <w:adjustRightInd w:val="0"/>
        <w:spacing w:after="0" w:line="240" w:lineRule="auto"/>
        <w:ind w:left="567"/>
        <w:jc w:val="both"/>
        <w:rPr>
          <w:rFonts w:cs="Arial-BoldMT"/>
          <w:bCs/>
        </w:rPr>
      </w:pPr>
      <w:r w:rsidRPr="00690F04">
        <w:rPr>
          <w:rFonts w:cs="Arial-BoldMT"/>
          <w:b/>
          <w:bCs/>
        </w:rPr>
        <w:t xml:space="preserve">Karta apteczna – </w:t>
      </w:r>
      <w:r w:rsidRPr="00690F04">
        <w:rPr>
          <w:rFonts w:cs="Arial-BoldMT"/>
          <w:bCs/>
        </w:rPr>
        <w:t>świadczenie gotówkowe/bezgotówkowe umożliwiające odbiór/wykup w aptece produktów o wartości 100 % sumy ubezpieczenia wskazanej w tabeli świadczeń, po odbyciu leczenia szpitalnego spowodowanego chorobą lub nieszczęśliwym wypadkiem, objętego odpowiedzialnością Ubezpieczyciela na wypadek leczenia szpitalnego. Zamawiający dopuszcza realizację świadczenia określonego jako ,,ryczałt na leki” w postaci świadczenia pieniężnego – przelewu bankowego, wypłacanego razem ze świadczeniem z tytułu pobytu w szpitalu.</w:t>
      </w:r>
    </w:p>
    <w:p w:rsidR="00BE478C" w:rsidRPr="00690F04" w:rsidRDefault="00BE478C" w:rsidP="00690F04">
      <w:pPr>
        <w:autoSpaceDE w:val="0"/>
        <w:autoSpaceDN w:val="0"/>
        <w:adjustRightInd w:val="0"/>
        <w:spacing w:after="0" w:line="240" w:lineRule="auto"/>
        <w:jc w:val="both"/>
        <w:rPr>
          <w:rFonts w:cs="Arial-BoldMT"/>
          <w:bCs/>
        </w:rPr>
      </w:pPr>
    </w:p>
    <w:p w:rsidR="00D46D45" w:rsidRDefault="00D46D45" w:rsidP="00690F04">
      <w:pPr>
        <w:jc w:val="both"/>
        <w:rPr>
          <w:b/>
        </w:rPr>
      </w:pPr>
    </w:p>
    <w:p w:rsidR="00D46D45" w:rsidRDefault="00D46D45" w:rsidP="00690F04">
      <w:pPr>
        <w:jc w:val="both"/>
        <w:rPr>
          <w:b/>
        </w:rPr>
      </w:pPr>
    </w:p>
    <w:p w:rsidR="00BE478C" w:rsidRPr="00690F04" w:rsidRDefault="00BE478C" w:rsidP="00690F04">
      <w:pPr>
        <w:jc w:val="both"/>
        <w:rPr>
          <w:b/>
        </w:rPr>
      </w:pPr>
      <w:r w:rsidRPr="00690F04">
        <w:rPr>
          <w:b/>
        </w:rPr>
        <w:t>IV</w:t>
      </w:r>
      <w:r w:rsidR="00690F04">
        <w:rPr>
          <w:b/>
        </w:rPr>
        <w:t xml:space="preserve">. </w:t>
      </w:r>
      <w:r w:rsidRPr="00690F04">
        <w:rPr>
          <w:b/>
        </w:rPr>
        <w:t xml:space="preserve"> Warunki indywidualnej kontynuacji ubezpieczenia grupowego</w:t>
      </w:r>
    </w:p>
    <w:p w:rsidR="00BE478C" w:rsidRPr="00690F04" w:rsidRDefault="00BE478C" w:rsidP="00690F04">
      <w:pPr>
        <w:jc w:val="both"/>
      </w:pPr>
      <w:r w:rsidRPr="00690F04">
        <w:t>1. Zamawiający i Wykonawca w ramach umowy ubezpieczenia grupowego nadają każdemu Ubezpieczonemu prawo do indywidualnej dożywotniej kontynuacji ubezpieczenia po ustaniu stosunku prawnego łączącego Ubezpieczonego z Zamawiającym/Ubezpieczającym.</w:t>
      </w:r>
    </w:p>
    <w:p w:rsidR="00BE478C" w:rsidRPr="00690F04" w:rsidRDefault="00BE478C" w:rsidP="00690F04">
      <w:pPr>
        <w:jc w:val="both"/>
      </w:pPr>
      <w:r w:rsidRPr="00690F04">
        <w:t>Prawo do indywidualnej kontynuacji przysługuje Ubezpieczonemu, za którego przekazano składkę za okres co najmniej 6 miesięcy. Natomiast w przypadku ustania stosunku prawnego łączącego Ubezpieczonego z Ubezpieczającym z powodu reorganizacji lub likwidacji bez względu na okres przekazywania. Do tego okresu zaliczony będzie również staż u poprzedniego Ubezpieczyciela pod warunkiem, że została zachowana ciągłość ubezpieczenia.</w:t>
      </w:r>
    </w:p>
    <w:p w:rsidR="00BE478C" w:rsidRPr="00690F04" w:rsidRDefault="00BE478C" w:rsidP="00690F04">
      <w:pPr>
        <w:jc w:val="both"/>
      </w:pPr>
      <w:r w:rsidRPr="00690F04">
        <w:t>2. Minimalny zakres ubezpieczenia w ramach dożywotniej indywidualnej kontynuacji winien obejmować następujący zakres :</w:t>
      </w:r>
    </w:p>
    <w:p w:rsidR="00BE478C" w:rsidRPr="00690F04" w:rsidRDefault="00BE478C" w:rsidP="00690F04">
      <w:pPr>
        <w:jc w:val="both"/>
      </w:pPr>
      <w:r w:rsidRPr="00690F04">
        <w:t>- Śmierć Ubezpieczonego – 100 % sumy ubezpieczenia</w:t>
      </w:r>
    </w:p>
    <w:p w:rsidR="00BE478C" w:rsidRPr="00690F04" w:rsidRDefault="00BE478C" w:rsidP="00690F04">
      <w:pPr>
        <w:jc w:val="both"/>
      </w:pPr>
      <w:r w:rsidRPr="00690F04">
        <w:t>- Śmierć Ubezpieczonego w skutek NW – 200% sumy ubezpieczenia (świadczenie skumulowane)</w:t>
      </w:r>
    </w:p>
    <w:p w:rsidR="00BE478C" w:rsidRPr="00690F04" w:rsidRDefault="00BE478C" w:rsidP="00690F04">
      <w:pPr>
        <w:jc w:val="both"/>
      </w:pPr>
      <w:r w:rsidRPr="00690F04">
        <w:t>- Trwały uszczerbek na zdrowiu wskutek NW – 1% sumy ubezpieczenia za 1% trwałego uszczerbku</w:t>
      </w:r>
    </w:p>
    <w:p w:rsidR="00BE478C" w:rsidRPr="00690F04" w:rsidRDefault="00BE478C" w:rsidP="00690F04">
      <w:pPr>
        <w:jc w:val="both"/>
      </w:pPr>
      <w:r w:rsidRPr="00690F04">
        <w:t>- Śmierć małżonka – 100% sumy ubezpieczenia</w:t>
      </w:r>
    </w:p>
    <w:p w:rsidR="00BE478C" w:rsidRPr="00690F04" w:rsidRDefault="00BE478C" w:rsidP="00690F04">
      <w:pPr>
        <w:jc w:val="both"/>
      </w:pPr>
      <w:r w:rsidRPr="00690F04">
        <w:t>- Śmierć dziecka – 30% sumy ubezpieczenia</w:t>
      </w:r>
    </w:p>
    <w:p w:rsidR="00BE478C" w:rsidRPr="00690F04" w:rsidRDefault="00BE478C" w:rsidP="00690F04">
      <w:pPr>
        <w:jc w:val="both"/>
      </w:pPr>
      <w:r w:rsidRPr="00690F04">
        <w:t xml:space="preserve">- Urodzenie </w:t>
      </w:r>
      <w:r w:rsidR="00877816" w:rsidRPr="00690F04">
        <w:t>dziecka – 10% sumy ubezpieczenia</w:t>
      </w:r>
    </w:p>
    <w:p w:rsidR="00877816" w:rsidRPr="00690F04" w:rsidRDefault="00877816" w:rsidP="00690F04">
      <w:pPr>
        <w:jc w:val="both"/>
      </w:pPr>
      <w:r w:rsidRPr="00690F04">
        <w:t>- Urodzenie martwego dziecka – 20% sumy ubezpieczenia</w:t>
      </w:r>
    </w:p>
    <w:p w:rsidR="00877816" w:rsidRPr="00690F04" w:rsidRDefault="00877816" w:rsidP="00690F04">
      <w:pPr>
        <w:jc w:val="both"/>
      </w:pPr>
      <w:r w:rsidRPr="00690F04">
        <w:t>-Śmierć rodziców lub teściów – 20% sumy ubezpieczenia</w:t>
      </w:r>
    </w:p>
    <w:p w:rsidR="00877816" w:rsidRPr="00690F04" w:rsidRDefault="00877816" w:rsidP="00690F04">
      <w:pPr>
        <w:jc w:val="both"/>
      </w:pPr>
      <w:r w:rsidRPr="00690F04">
        <w:t>-Osierocenie dziecka przez Ubezpieczonego – minimum 40% sumy ubezpieczenia</w:t>
      </w:r>
    </w:p>
    <w:p w:rsidR="00877816" w:rsidRPr="00295909" w:rsidRDefault="00877816" w:rsidP="00690F04">
      <w:pPr>
        <w:jc w:val="both"/>
      </w:pPr>
      <w:r w:rsidRPr="00295909">
        <w:t xml:space="preserve">Maksymalna składka to 7 zł za 1000 sumy ubezpieczenia  w ubezpieczeniu indywidualnie kontynuowanym </w:t>
      </w:r>
    </w:p>
    <w:p w:rsidR="00877816" w:rsidRPr="00690F04" w:rsidRDefault="00877816" w:rsidP="00690F04">
      <w:pPr>
        <w:jc w:val="both"/>
        <w:rPr>
          <w:b/>
        </w:rPr>
      </w:pPr>
    </w:p>
    <w:p w:rsidR="00877816" w:rsidRPr="00690F04" w:rsidRDefault="00877816" w:rsidP="00690F04">
      <w:pPr>
        <w:jc w:val="both"/>
        <w:rPr>
          <w:b/>
        </w:rPr>
      </w:pPr>
      <w:r w:rsidRPr="00690F04">
        <w:rPr>
          <w:b/>
        </w:rPr>
        <w:t>V</w:t>
      </w:r>
      <w:r w:rsidR="00690F04">
        <w:rPr>
          <w:b/>
        </w:rPr>
        <w:t>.</w:t>
      </w:r>
      <w:r w:rsidRPr="00690F04">
        <w:rPr>
          <w:b/>
        </w:rPr>
        <w:t xml:space="preserve"> Dopuszczalne wyłączenia</w:t>
      </w:r>
      <w:r w:rsidR="00B104CD" w:rsidRPr="00690F04">
        <w:rPr>
          <w:b/>
        </w:rPr>
        <w:t xml:space="preserve"> i ograniczenia odpowiedzialnośc</w:t>
      </w:r>
      <w:r w:rsidRPr="00690F04">
        <w:rPr>
          <w:b/>
        </w:rPr>
        <w:t>i</w:t>
      </w:r>
    </w:p>
    <w:p w:rsidR="00877816" w:rsidRPr="00690F04" w:rsidRDefault="00877816" w:rsidP="00690F04">
      <w:pPr>
        <w:ind w:firstLine="360"/>
        <w:jc w:val="both"/>
        <w:rPr>
          <w:b/>
        </w:rPr>
      </w:pPr>
    </w:p>
    <w:p w:rsidR="00877816" w:rsidRPr="00690F04" w:rsidRDefault="00877816" w:rsidP="00690F04">
      <w:pPr>
        <w:pStyle w:val="Akapitzlist"/>
        <w:numPr>
          <w:ilvl w:val="0"/>
          <w:numId w:val="14"/>
        </w:numPr>
        <w:ind w:left="284" w:hanging="284"/>
        <w:jc w:val="both"/>
      </w:pPr>
      <w:r w:rsidRPr="00690F04">
        <w:t>Śmierć Ubezpieczonego</w:t>
      </w:r>
    </w:p>
    <w:p w:rsidR="00877816" w:rsidRPr="00690F04" w:rsidRDefault="00877816" w:rsidP="00690F04">
      <w:pPr>
        <w:jc w:val="both"/>
      </w:pPr>
      <w:r w:rsidRPr="00690F04">
        <w:t xml:space="preserve">Wykonawca nie ponosi odpowiedzialności w razie zgonu Ubezpieczonego wskutek : </w:t>
      </w:r>
    </w:p>
    <w:p w:rsidR="00877816" w:rsidRPr="00690F04" w:rsidRDefault="00877816" w:rsidP="00690F04">
      <w:pPr>
        <w:jc w:val="both"/>
      </w:pPr>
      <w:r w:rsidRPr="00690F04">
        <w:t>a) działań wojennych, stanu wojennego</w:t>
      </w:r>
    </w:p>
    <w:p w:rsidR="00877816" w:rsidRPr="00690F04" w:rsidRDefault="00877816" w:rsidP="00690F04">
      <w:pPr>
        <w:jc w:val="both"/>
      </w:pPr>
      <w:r w:rsidRPr="00690F04">
        <w:t>b) czynnego udziału w aktach terroru, zamieszkach i rozruchach społecznych</w:t>
      </w:r>
    </w:p>
    <w:p w:rsidR="00877816" w:rsidRPr="00690F04" w:rsidRDefault="00877816" w:rsidP="00690F04">
      <w:pPr>
        <w:jc w:val="both"/>
      </w:pPr>
      <w:r w:rsidRPr="00690F04">
        <w:t>c) śmierci w wyniku samobójstwa Ubezpieczonego popełnionego w okresie 2 lat od początku odpowiedzialności Wykonawcy wobec tego Ubezpieczonego</w:t>
      </w:r>
    </w:p>
    <w:p w:rsidR="00FA7FCA" w:rsidRDefault="00FA7FCA" w:rsidP="00690F04">
      <w:pPr>
        <w:jc w:val="both"/>
      </w:pPr>
      <w:r w:rsidRPr="00690F04">
        <w:t>Do okresu wyłączenia odpowiedzialności z tytułu śmierci Ubezpieczonego Wykonawca zaliczy staż Ubezpieczonego z poprzedniej umowy ubezpieczenia</w:t>
      </w:r>
    </w:p>
    <w:p w:rsidR="00D46D45" w:rsidRDefault="00D46D45" w:rsidP="00690F04">
      <w:pPr>
        <w:jc w:val="both"/>
      </w:pPr>
    </w:p>
    <w:p w:rsidR="00D46D45" w:rsidRPr="00690F04" w:rsidRDefault="00D46D45" w:rsidP="00690F04">
      <w:pPr>
        <w:jc w:val="both"/>
      </w:pPr>
    </w:p>
    <w:p w:rsidR="00877816" w:rsidRPr="00690F04" w:rsidRDefault="00877816" w:rsidP="00690F04">
      <w:pPr>
        <w:jc w:val="both"/>
      </w:pPr>
      <w:r w:rsidRPr="00690F04">
        <w:t>2. Śmierć Ubezpieczonego w wyniku NW</w:t>
      </w:r>
    </w:p>
    <w:p w:rsidR="00877816" w:rsidRPr="00690F04" w:rsidRDefault="00877816" w:rsidP="00690F04">
      <w:pPr>
        <w:jc w:val="both"/>
      </w:pPr>
      <w:r w:rsidRPr="00690F04">
        <w:t>Wykonawca nie ponosi odpowiedzialności za skutki nieszczęśliwych wypadków, które powstały wskutek:</w:t>
      </w:r>
    </w:p>
    <w:p w:rsidR="00877816" w:rsidRPr="00690F04" w:rsidRDefault="00877816" w:rsidP="00690F04">
      <w:pPr>
        <w:jc w:val="both"/>
      </w:pPr>
      <w:r w:rsidRPr="00690F04">
        <w:t>a) działań wojennych, stanu wojennego</w:t>
      </w:r>
    </w:p>
    <w:p w:rsidR="00877816" w:rsidRPr="00690F04" w:rsidRDefault="00877816" w:rsidP="00690F04">
      <w:pPr>
        <w:jc w:val="both"/>
      </w:pPr>
      <w:r w:rsidRPr="00690F04">
        <w:t>b) czynnego udziału w aktach terroru, zamieszkach i rozruchach społecznych</w:t>
      </w:r>
    </w:p>
    <w:p w:rsidR="00877816" w:rsidRPr="00690F04" w:rsidRDefault="00877816" w:rsidP="00690F04">
      <w:pPr>
        <w:autoSpaceDE w:val="0"/>
        <w:autoSpaceDN w:val="0"/>
        <w:adjustRightInd w:val="0"/>
        <w:spacing w:after="0" w:line="240" w:lineRule="auto"/>
        <w:jc w:val="both"/>
        <w:rPr>
          <w:rFonts w:cs="Arial-BoldMT"/>
          <w:bCs/>
        </w:rPr>
      </w:pPr>
      <w:r w:rsidRPr="00690F04">
        <w:rPr>
          <w:rFonts w:cs="Arial-BoldMT"/>
          <w:bCs/>
        </w:rPr>
        <w:t>c) podczas prowadzenia pojazdu mechanicznego lub innego pojazdu, jeżeli Ubezpieczony nie posiadał wymaganych prawem uprawnień.</w:t>
      </w:r>
    </w:p>
    <w:p w:rsidR="00877816" w:rsidRPr="00690F04" w:rsidRDefault="00877816" w:rsidP="00690F04">
      <w:pPr>
        <w:autoSpaceDE w:val="0"/>
        <w:autoSpaceDN w:val="0"/>
        <w:adjustRightInd w:val="0"/>
        <w:spacing w:after="0" w:line="240" w:lineRule="auto"/>
        <w:jc w:val="both"/>
        <w:rPr>
          <w:rFonts w:cs="Arial-BoldMT"/>
          <w:bCs/>
        </w:rPr>
      </w:pPr>
    </w:p>
    <w:p w:rsidR="00877816" w:rsidRPr="00690F04" w:rsidRDefault="00877816" w:rsidP="00690F04">
      <w:pPr>
        <w:autoSpaceDE w:val="0"/>
        <w:autoSpaceDN w:val="0"/>
        <w:adjustRightInd w:val="0"/>
        <w:spacing w:after="0" w:line="240" w:lineRule="auto"/>
        <w:jc w:val="both"/>
        <w:rPr>
          <w:rFonts w:cs="Arial-BoldMT"/>
          <w:bCs/>
        </w:rPr>
      </w:pPr>
      <w:r w:rsidRPr="00690F04">
        <w:rPr>
          <w:rFonts w:cs="Arial-BoldMT"/>
          <w:bCs/>
        </w:rPr>
        <w:t>d)podczas prowadzenia pojazdu mechanicznego lub innego pojazdu przez Ubezpieczonego w stanie po użyciu alkoholu, lub w stanie nietrzeźwości, a także spożyciu narkotyków lub środków odurzających.</w:t>
      </w:r>
    </w:p>
    <w:p w:rsidR="00877816" w:rsidRPr="00690F04" w:rsidRDefault="00877816" w:rsidP="00690F04">
      <w:pPr>
        <w:autoSpaceDE w:val="0"/>
        <w:autoSpaceDN w:val="0"/>
        <w:adjustRightInd w:val="0"/>
        <w:spacing w:after="0" w:line="240" w:lineRule="auto"/>
        <w:jc w:val="both"/>
        <w:rPr>
          <w:rFonts w:cs="Arial-BoldMT"/>
          <w:bCs/>
        </w:rPr>
      </w:pPr>
    </w:p>
    <w:p w:rsidR="00877816" w:rsidRPr="00690F04" w:rsidRDefault="00877816" w:rsidP="00690F04">
      <w:pPr>
        <w:autoSpaceDE w:val="0"/>
        <w:autoSpaceDN w:val="0"/>
        <w:adjustRightInd w:val="0"/>
        <w:spacing w:after="0" w:line="240" w:lineRule="auto"/>
        <w:jc w:val="both"/>
        <w:rPr>
          <w:rFonts w:cs="Arial-BoldMT"/>
          <w:bCs/>
        </w:rPr>
      </w:pPr>
      <w:r w:rsidRPr="00690F04">
        <w:rPr>
          <w:rFonts w:cs="Arial-BoldMT"/>
          <w:bCs/>
        </w:rPr>
        <w:t>e) w związku z popełnieniem lub usiłowaniem popełnienia przez Ubezpieczonego przestępstwa</w:t>
      </w:r>
    </w:p>
    <w:p w:rsidR="00877816" w:rsidRPr="00690F04" w:rsidRDefault="00877816" w:rsidP="00690F04">
      <w:pPr>
        <w:autoSpaceDE w:val="0"/>
        <w:autoSpaceDN w:val="0"/>
        <w:adjustRightInd w:val="0"/>
        <w:spacing w:after="0" w:line="240" w:lineRule="auto"/>
        <w:jc w:val="both"/>
        <w:rPr>
          <w:rFonts w:cs="Arial-BoldMT"/>
          <w:bCs/>
        </w:rPr>
      </w:pPr>
    </w:p>
    <w:p w:rsidR="00877816" w:rsidRPr="00690F04" w:rsidRDefault="00877816" w:rsidP="00690F04">
      <w:pPr>
        <w:autoSpaceDE w:val="0"/>
        <w:autoSpaceDN w:val="0"/>
        <w:adjustRightInd w:val="0"/>
        <w:spacing w:after="0" w:line="240" w:lineRule="auto"/>
        <w:jc w:val="both"/>
        <w:rPr>
          <w:rFonts w:cs="Arial-BoldMT"/>
          <w:bCs/>
        </w:rPr>
      </w:pPr>
      <w:r w:rsidRPr="00690F04">
        <w:rPr>
          <w:rFonts w:cs="Arial-BoldMT"/>
          <w:bCs/>
        </w:rPr>
        <w:t>f) w wyniku samookaleczenia lub w związku z popełnieniem lub usiłowaniem popełnienia przez Ubezpieczonego samobójstwa</w:t>
      </w:r>
    </w:p>
    <w:p w:rsidR="00877816" w:rsidRPr="00690F04" w:rsidRDefault="00877816" w:rsidP="00690F04">
      <w:pPr>
        <w:autoSpaceDE w:val="0"/>
        <w:autoSpaceDN w:val="0"/>
        <w:adjustRightInd w:val="0"/>
        <w:spacing w:after="0" w:line="240" w:lineRule="auto"/>
        <w:jc w:val="both"/>
        <w:rPr>
          <w:rFonts w:cs="Arial-BoldMT"/>
          <w:bCs/>
        </w:rPr>
      </w:pPr>
    </w:p>
    <w:p w:rsidR="00877816" w:rsidRPr="00690F04" w:rsidRDefault="00877816" w:rsidP="00690F04">
      <w:pPr>
        <w:autoSpaceDE w:val="0"/>
        <w:autoSpaceDN w:val="0"/>
        <w:adjustRightInd w:val="0"/>
        <w:spacing w:after="0" w:line="240" w:lineRule="auto"/>
        <w:jc w:val="both"/>
        <w:rPr>
          <w:rFonts w:cs="Arial-BoldMT"/>
          <w:bCs/>
        </w:rPr>
      </w:pPr>
      <w:r w:rsidRPr="00690F04">
        <w:rPr>
          <w:rFonts w:cs="Arial-BoldMT"/>
          <w:bCs/>
        </w:rPr>
        <w:t>g) jeśli ubezpieczony pozostawał w stanie nietrzeźwości pod wpływem narkotyków lub innych środków odurzających</w:t>
      </w:r>
    </w:p>
    <w:p w:rsidR="00877816" w:rsidRPr="00690F04" w:rsidRDefault="00877816" w:rsidP="00690F04">
      <w:pPr>
        <w:autoSpaceDE w:val="0"/>
        <w:autoSpaceDN w:val="0"/>
        <w:adjustRightInd w:val="0"/>
        <w:spacing w:after="0" w:line="240" w:lineRule="auto"/>
        <w:jc w:val="both"/>
        <w:rPr>
          <w:rFonts w:cs="Arial-BoldMT"/>
          <w:bCs/>
        </w:rPr>
      </w:pPr>
    </w:p>
    <w:p w:rsidR="00877816" w:rsidRPr="00690F04" w:rsidRDefault="00877816" w:rsidP="00690F04">
      <w:pPr>
        <w:autoSpaceDE w:val="0"/>
        <w:autoSpaceDN w:val="0"/>
        <w:adjustRightInd w:val="0"/>
        <w:spacing w:after="0" w:line="240" w:lineRule="auto"/>
        <w:jc w:val="both"/>
        <w:rPr>
          <w:rFonts w:cs="Arial-BoldMT"/>
          <w:bCs/>
        </w:rPr>
      </w:pPr>
      <w:r w:rsidRPr="00690F04">
        <w:rPr>
          <w:rFonts w:cs="Arial-BoldMT"/>
          <w:bCs/>
        </w:rPr>
        <w:t>h) w wyniku bezpośrednio zatrucia spowodowanego spożywaniem alkoholu, używaniem narkotyków lub środków odurzających, substancji psychotropowych, czy też środków zastępczych w rozumieniu przepisów o przeciwdziałaniu narkomanii, użycia środków farmakologicznych</w:t>
      </w:r>
    </w:p>
    <w:p w:rsidR="00877816" w:rsidRPr="00690F04" w:rsidRDefault="00877816" w:rsidP="00690F04">
      <w:pPr>
        <w:autoSpaceDE w:val="0"/>
        <w:autoSpaceDN w:val="0"/>
        <w:adjustRightInd w:val="0"/>
        <w:spacing w:after="0" w:line="240" w:lineRule="auto"/>
        <w:jc w:val="both"/>
        <w:rPr>
          <w:rFonts w:cs="Arial-BoldMT"/>
          <w:bCs/>
        </w:rPr>
      </w:pPr>
    </w:p>
    <w:p w:rsidR="00877816" w:rsidRPr="00690F04" w:rsidRDefault="00877816" w:rsidP="00690F04">
      <w:pPr>
        <w:autoSpaceDE w:val="0"/>
        <w:autoSpaceDN w:val="0"/>
        <w:adjustRightInd w:val="0"/>
        <w:spacing w:after="0" w:line="240" w:lineRule="auto"/>
        <w:jc w:val="both"/>
        <w:rPr>
          <w:rFonts w:cs="Arial-BoldMT"/>
          <w:bCs/>
        </w:rPr>
      </w:pPr>
      <w:r w:rsidRPr="00690F04">
        <w:rPr>
          <w:rFonts w:cs="Arial-BoldMT"/>
          <w:bCs/>
        </w:rPr>
        <w:t>i) w wyniku uszkodzeń ciała spowodowanych leczeniem oraz zabiegami leczniczymi lub diagnostycznymi, niezależnie od tego przez kogo były wykonane, chyba że chodziło o leczenie bezpośrednich następstw nieszczęśliwego wypadku</w:t>
      </w:r>
    </w:p>
    <w:p w:rsidR="00877816" w:rsidRPr="00690F04" w:rsidRDefault="00877816" w:rsidP="00690F04">
      <w:pPr>
        <w:autoSpaceDE w:val="0"/>
        <w:autoSpaceDN w:val="0"/>
        <w:adjustRightInd w:val="0"/>
        <w:spacing w:after="0" w:line="240" w:lineRule="auto"/>
        <w:jc w:val="both"/>
        <w:rPr>
          <w:rFonts w:cs="Arial-BoldMT"/>
          <w:bCs/>
        </w:rPr>
      </w:pPr>
    </w:p>
    <w:p w:rsidR="00877816" w:rsidRPr="00690F04" w:rsidRDefault="00877816" w:rsidP="00690F04">
      <w:pPr>
        <w:autoSpaceDE w:val="0"/>
        <w:autoSpaceDN w:val="0"/>
        <w:adjustRightInd w:val="0"/>
        <w:spacing w:after="0" w:line="240" w:lineRule="auto"/>
        <w:jc w:val="both"/>
        <w:rPr>
          <w:rFonts w:cs="Arial-BoldMT"/>
          <w:bCs/>
        </w:rPr>
      </w:pPr>
      <w:r w:rsidRPr="00690F04">
        <w:rPr>
          <w:rFonts w:cs="Arial-BoldMT"/>
          <w:bCs/>
        </w:rPr>
        <w:t>j) w następstwie skażenia jądrowego, chemicznego, biologicznego w tym spowodowanego działaniem broni nuklearnej, chemicznej, biologicznej bądź napromieniowania</w:t>
      </w:r>
    </w:p>
    <w:p w:rsidR="0099233F" w:rsidRPr="00690F04" w:rsidRDefault="0099233F" w:rsidP="00690F04">
      <w:pPr>
        <w:autoSpaceDE w:val="0"/>
        <w:autoSpaceDN w:val="0"/>
        <w:adjustRightInd w:val="0"/>
        <w:spacing w:after="0" w:line="240" w:lineRule="auto"/>
        <w:jc w:val="both"/>
        <w:rPr>
          <w:rFonts w:cs="Arial-BoldMT"/>
          <w:bCs/>
        </w:rPr>
      </w:pPr>
    </w:p>
    <w:p w:rsidR="0099233F" w:rsidRPr="00690F04" w:rsidRDefault="0099233F" w:rsidP="00690F04">
      <w:pPr>
        <w:autoSpaceDE w:val="0"/>
        <w:autoSpaceDN w:val="0"/>
        <w:adjustRightInd w:val="0"/>
        <w:spacing w:after="0" w:line="240" w:lineRule="auto"/>
        <w:jc w:val="both"/>
        <w:rPr>
          <w:rFonts w:cs="Arial-BoldMT"/>
          <w:bCs/>
        </w:rPr>
      </w:pPr>
      <w:r w:rsidRPr="00690F04">
        <w:rPr>
          <w:rFonts w:cs="Arial-BoldMT"/>
          <w:bCs/>
        </w:rPr>
        <w:t>3. Odpowiedzialnością Wykonawcy w ramach ubezpieczenia następstw nieszczęśliwych wypadków nie są objęte choroby zawodowe i wszelkie inne choroby lub stany chorobowe nawet takie, które występują nagle np. choroby zakaźne, zaziębienia, zapalenie płuc, zakłócenie ciąży i porodu.</w:t>
      </w:r>
    </w:p>
    <w:p w:rsidR="0099233F" w:rsidRPr="00690F04" w:rsidRDefault="0099233F" w:rsidP="00690F04">
      <w:pPr>
        <w:autoSpaceDE w:val="0"/>
        <w:autoSpaceDN w:val="0"/>
        <w:adjustRightInd w:val="0"/>
        <w:spacing w:after="0" w:line="240" w:lineRule="auto"/>
        <w:jc w:val="both"/>
        <w:rPr>
          <w:rFonts w:cs="Arial-BoldMT"/>
          <w:bCs/>
        </w:rPr>
      </w:pPr>
    </w:p>
    <w:p w:rsidR="0099233F" w:rsidRPr="00690F04" w:rsidRDefault="0099233F" w:rsidP="00690F04">
      <w:pPr>
        <w:autoSpaceDE w:val="0"/>
        <w:autoSpaceDN w:val="0"/>
        <w:adjustRightInd w:val="0"/>
        <w:spacing w:after="0" w:line="240" w:lineRule="auto"/>
        <w:jc w:val="both"/>
        <w:rPr>
          <w:rFonts w:cs="Arial-BoldMT"/>
          <w:bCs/>
        </w:rPr>
      </w:pPr>
      <w:r w:rsidRPr="00690F04">
        <w:rPr>
          <w:rFonts w:cs="Arial-BoldMT"/>
          <w:bCs/>
        </w:rPr>
        <w:t>4. Śmierć Ubezpieczonego w wyniku zawału serca lub krwotoku śródmózgowego. Wykonawca nie ponosi odpowiedzialności jak w przypadkach wyłączenia odpowiedzialności z tytułu śmierci</w:t>
      </w:r>
    </w:p>
    <w:p w:rsidR="0099233F" w:rsidRPr="00690F04" w:rsidRDefault="0099233F" w:rsidP="00690F04">
      <w:pPr>
        <w:autoSpaceDE w:val="0"/>
        <w:autoSpaceDN w:val="0"/>
        <w:adjustRightInd w:val="0"/>
        <w:spacing w:after="0" w:line="240" w:lineRule="auto"/>
        <w:jc w:val="both"/>
        <w:rPr>
          <w:rFonts w:cs="Arial-BoldMT"/>
          <w:bCs/>
        </w:rPr>
      </w:pPr>
    </w:p>
    <w:p w:rsidR="00E27F8E" w:rsidRPr="00690F04" w:rsidRDefault="0099233F" w:rsidP="00690F04">
      <w:pPr>
        <w:autoSpaceDE w:val="0"/>
        <w:autoSpaceDN w:val="0"/>
        <w:adjustRightInd w:val="0"/>
        <w:spacing w:after="0" w:line="240" w:lineRule="auto"/>
        <w:jc w:val="both"/>
        <w:rPr>
          <w:rFonts w:cs="Arial-BoldMT"/>
          <w:bCs/>
        </w:rPr>
      </w:pPr>
      <w:r w:rsidRPr="00690F04">
        <w:rPr>
          <w:rFonts w:cs="Arial-BoldMT"/>
          <w:bCs/>
        </w:rPr>
        <w:t>5. Trwały uszczerbek na zdrowiu na skutek</w:t>
      </w:r>
      <w:r w:rsidR="00E27F8E" w:rsidRPr="00690F04">
        <w:rPr>
          <w:rFonts w:cs="Arial-BoldMT"/>
          <w:bCs/>
        </w:rPr>
        <w:t xml:space="preserve"> nieszczęśliwego wypadku Ubezpieczonego. Wykonawca nie ponosi odpowiedzialności jak w przypadkach wyłączenia odpowiedzialności z tytułu śmierci ubezpieczonego w wyniku NW</w:t>
      </w:r>
    </w:p>
    <w:p w:rsidR="00E27F8E" w:rsidRPr="00690F04" w:rsidRDefault="00E27F8E" w:rsidP="00690F04">
      <w:pPr>
        <w:autoSpaceDE w:val="0"/>
        <w:autoSpaceDN w:val="0"/>
        <w:adjustRightInd w:val="0"/>
        <w:spacing w:after="0" w:line="240" w:lineRule="auto"/>
        <w:jc w:val="both"/>
        <w:rPr>
          <w:rFonts w:cs="Arial-BoldMT"/>
          <w:bCs/>
        </w:rPr>
      </w:pPr>
    </w:p>
    <w:p w:rsidR="00E27F8E" w:rsidRPr="00690F04" w:rsidRDefault="00E27F8E" w:rsidP="00690F04">
      <w:pPr>
        <w:autoSpaceDE w:val="0"/>
        <w:autoSpaceDN w:val="0"/>
        <w:adjustRightInd w:val="0"/>
        <w:spacing w:after="0" w:line="240" w:lineRule="auto"/>
        <w:jc w:val="both"/>
        <w:rPr>
          <w:rFonts w:cs="Arial-BoldMT"/>
          <w:bCs/>
        </w:rPr>
      </w:pPr>
      <w:r w:rsidRPr="00690F04">
        <w:rPr>
          <w:rFonts w:cs="Arial-BoldMT"/>
          <w:bCs/>
        </w:rPr>
        <w:t xml:space="preserve">6. Pobyt Ubezpieczonego w szpitalu wskutek choroby lub nieszczęśliwego wypadku, wskutek wypadku przy pracy, wypadku komunikacyjnego. Wykonawca nie ponosi odpowiedzialności za pobyt Ubezpieczonego w szpitalu powstałym bezpośrednio : </w:t>
      </w:r>
    </w:p>
    <w:p w:rsidR="00E27F8E" w:rsidRPr="00690F04" w:rsidRDefault="0029183A" w:rsidP="00690F04">
      <w:pPr>
        <w:autoSpaceDE w:val="0"/>
        <w:autoSpaceDN w:val="0"/>
        <w:adjustRightInd w:val="0"/>
        <w:spacing w:after="0" w:line="240" w:lineRule="auto"/>
        <w:jc w:val="both"/>
        <w:rPr>
          <w:rFonts w:cs="Arial-BoldMT"/>
          <w:bCs/>
        </w:rPr>
      </w:pPr>
      <w:r w:rsidRPr="00690F04">
        <w:rPr>
          <w:rFonts w:cs="Arial-BoldMT"/>
          <w:bCs/>
        </w:rPr>
        <w:t xml:space="preserve">a) </w:t>
      </w:r>
      <w:r w:rsidR="00E27F8E" w:rsidRPr="00690F04">
        <w:rPr>
          <w:rFonts w:cs="Arial-BoldMT"/>
          <w:bCs/>
        </w:rPr>
        <w:t>w wyniku działań wojennych, czynnego udziału w aktach terroru lub czynnego udziału Ubezpieczonego w masowych rozruchach społecznych</w:t>
      </w:r>
    </w:p>
    <w:p w:rsidR="00E27F8E" w:rsidRPr="00690F04" w:rsidRDefault="0029183A" w:rsidP="00690F04">
      <w:pPr>
        <w:autoSpaceDE w:val="0"/>
        <w:autoSpaceDN w:val="0"/>
        <w:adjustRightInd w:val="0"/>
        <w:spacing w:after="0" w:line="240" w:lineRule="auto"/>
        <w:jc w:val="both"/>
        <w:rPr>
          <w:rFonts w:cs="Arial-BoldMT"/>
          <w:bCs/>
        </w:rPr>
      </w:pPr>
      <w:r w:rsidRPr="00690F04">
        <w:rPr>
          <w:rFonts w:cs="Arial-BoldMT"/>
          <w:bCs/>
        </w:rPr>
        <w:lastRenderedPageBreak/>
        <w:t xml:space="preserve">b) </w:t>
      </w:r>
      <w:r w:rsidR="00E27F8E" w:rsidRPr="00690F04">
        <w:rPr>
          <w:rFonts w:cs="Arial-BoldMT"/>
          <w:bCs/>
        </w:rPr>
        <w:t>w wyniku popełnienia przez Ubezpieczonego czynu, który spełnia ustawowe znamiona przestępstwa umyślnego</w:t>
      </w:r>
    </w:p>
    <w:p w:rsidR="00E27F8E" w:rsidRPr="00690F04" w:rsidRDefault="0029183A" w:rsidP="00690F04">
      <w:pPr>
        <w:autoSpaceDE w:val="0"/>
        <w:autoSpaceDN w:val="0"/>
        <w:adjustRightInd w:val="0"/>
        <w:spacing w:after="0" w:line="240" w:lineRule="auto"/>
        <w:jc w:val="both"/>
        <w:rPr>
          <w:rFonts w:cs="Arial-BoldMT"/>
          <w:bCs/>
        </w:rPr>
      </w:pPr>
      <w:r w:rsidRPr="00690F04">
        <w:rPr>
          <w:rFonts w:cs="Arial-BoldMT"/>
          <w:bCs/>
        </w:rPr>
        <w:t xml:space="preserve">c) </w:t>
      </w:r>
      <w:r w:rsidR="00E27F8E" w:rsidRPr="00690F04">
        <w:rPr>
          <w:rFonts w:cs="Arial-BoldMT"/>
          <w:bCs/>
        </w:rPr>
        <w:t xml:space="preserve">w wyniku samookaleczenia lub usiłowania popełnienia przez Ubezpieczonego samobójstwa </w:t>
      </w:r>
    </w:p>
    <w:p w:rsidR="00E27F8E" w:rsidRPr="00690F04" w:rsidRDefault="0029183A" w:rsidP="00690F04">
      <w:pPr>
        <w:autoSpaceDE w:val="0"/>
        <w:autoSpaceDN w:val="0"/>
        <w:adjustRightInd w:val="0"/>
        <w:spacing w:after="0" w:line="240" w:lineRule="auto"/>
        <w:jc w:val="both"/>
        <w:rPr>
          <w:rFonts w:cs="Arial-BoldMT"/>
          <w:bCs/>
        </w:rPr>
      </w:pPr>
      <w:r w:rsidRPr="00690F04">
        <w:rPr>
          <w:rFonts w:cs="Arial-BoldMT"/>
          <w:bCs/>
        </w:rPr>
        <w:t xml:space="preserve">d) </w:t>
      </w:r>
      <w:r w:rsidR="00E27F8E" w:rsidRPr="00690F04">
        <w:rPr>
          <w:rFonts w:cs="Arial-BoldMT"/>
          <w:bCs/>
        </w:rPr>
        <w:t>w wyniku wszelkich zaburzeń psychicznych, zaburzeń zachowania, nerwic i uzależnień</w:t>
      </w:r>
    </w:p>
    <w:p w:rsidR="00E27F8E" w:rsidRPr="00690F04" w:rsidRDefault="0029183A" w:rsidP="00690F04">
      <w:pPr>
        <w:autoSpaceDE w:val="0"/>
        <w:autoSpaceDN w:val="0"/>
        <w:adjustRightInd w:val="0"/>
        <w:spacing w:after="0" w:line="240" w:lineRule="auto"/>
        <w:jc w:val="both"/>
        <w:rPr>
          <w:rFonts w:cs="Arial-BoldMT"/>
          <w:bCs/>
        </w:rPr>
      </w:pPr>
      <w:r w:rsidRPr="00690F04">
        <w:rPr>
          <w:rFonts w:cs="Arial-BoldMT"/>
          <w:bCs/>
        </w:rPr>
        <w:t xml:space="preserve">e) </w:t>
      </w:r>
      <w:r w:rsidR="00E27F8E" w:rsidRPr="00690F04">
        <w:rPr>
          <w:rFonts w:cs="Arial-BoldMT"/>
          <w:bCs/>
        </w:rPr>
        <w:t>w związku z wykonywaniem badań lekarskich lub diagnostycznych nie wynikających z zachorowania, badań dawców narządów ( z wyjątkiem pobytów pozostających w bezpośrednim związku z pobraniem narządów) obserwacji na wniosek sądu</w:t>
      </w:r>
    </w:p>
    <w:p w:rsidR="00E27F8E" w:rsidRPr="00690F04" w:rsidRDefault="0029183A" w:rsidP="00690F04">
      <w:pPr>
        <w:autoSpaceDE w:val="0"/>
        <w:autoSpaceDN w:val="0"/>
        <w:adjustRightInd w:val="0"/>
        <w:spacing w:after="0" w:line="240" w:lineRule="auto"/>
        <w:jc w:val="both"/>
        <w:rPr>
          <w:rFonts w:cs="Arial-BoldMT"/>
          <w:bCs/>
        </w:rPr>
      </w:pPr>
      <w:r w:rsidRPr="00690F04">
        <w:rPr>
          <w:rFonts w:cs="Arial-BoldMT"/>
          <w:bCs/>
        </w:rPr>
        <w:t xml:space="preserve">f) </w:t>
      </w:r>
      <w:r w:rsidR="00E27F8E" w:rsidRPr="00690F04">
        <w:rPr>
          <w:rFonts w:cs="Arial-BoldMT"/>
          <w:bCs/>
        </w:rPr>
        <w:t xml:space="preserve">w wyniku leczenia niepłodności </w:t>
      </w:r>
    </w:p>
    <w:p w:rsidR="00E27F8E" w:rsidRPr="00690F04" w:rsidRDefault="0029183A" w:rsidP="00690F04">
      <w:pPr>
        <w:autoSpaceDE w:val="0"/>
        <w:autoSpaceDN w:val="0"/>
        <w:adjustRightInd w:val="0"/>
        <w:spacing w:after="0" w:line="240" w:lineRule="auto"/>
        <w:jc w:val="both"/>
        <w:rPr>
          <w:rFonts w:cs="Arial-BoldMT"/>
          <w:bCs/>
        </w:rPr>
      </w:pPr>
      <w:r w:rsidRPr="00690F04">
        <w:rPr>
          <w:rFonts w:cs="Arial-BoldMT"/>
          <w:bCs/>
        </w:rPr>
        <w:t xml:space="preserve">g) </w:t>
      </w:r>
      <w:r w:rsidR="00E27F8E" w:rsidRPr="00690F04">
        <w:rPr>
          <w:rFonts w:cs="Arial-BoldMT"/>
          <w:bCs/>
        </w:rPr>
        <w:t xml:space="preserve">w wyniku uszkodzeń i następstw uszkodzeń ciała i chorób powstałych na skutek aktów terroru lub katastrof, w wyniku których nastąpiło skażenie promieniami jonizującymi lub skażenie chemiczne </w:t>
      </w:r>
    </w:p>
    <w:p w:rsidR="00E27F8E" w:rsidRPr="00690F04" w:rsidRDefault="0029183A" w:rsidP="00690F04">
      <w:pPr>
        <w:autoSpaceDE w:val="0"/>
        <w:autoSpaceDN w:val="0"/>
        <w:adjustRightInd w:val="0"/>
        <w:spacing w:after="0" w:line="240" w:lineRule="auto"/>
        <w:jc w:val="both"/>
        <w:rPr>
          <w:rFonts w:cs="Arial-BoldMT"/>
          <w:bCs/>
        </w:rPr>
      </w:pPr>
      <w:r w:rsidRPr="00690F04">
        <w:rPr>
          <w:rFonts w:cs="Arial-BoldMT"/>
          <w:bCs/>
        </w:rPr>
        <w:t xml:space="preserve">h) </w:t>
      </w:r>
      <w:r w:rsidR="00E27F8E" w:rsidRPr="00690F04">
        <w:rPr>
          <w:rFonts w:cs="Arial-BoldMT"/>
          <w:bCs/>
        </w:rPr>
        <w:t>w wyniku operacji kosmetycznych lub plastycznych w tym operacji zmiany płci, z wyjątkiem operacji niezbędnych do usunięcia następstw NW lub choroby nowotworowej, wykrytej w okresie odpowiedzialności Wykonawcy</w:t>
      </w:r>
    </w:p>
    <w:p w:rsidR="0029183A" w:rsidRPr="00690F04" w:rsidRDefault="0029183A" w:rsidP="00690F04">
      <w:pPr>
        <w:autoSpaceDE w:val="0"/>
        <w:autoSpaceDN w:val="0"/>
        <w:adjustRightInd w:val="0"/>
        <w:spacing w:after="0" w:line="240" w:lineRule="auto"/>
        <w:jc w:val="both"/>
        <w:rPr>
          <w:rFonts w:cs="Arial-BoldMT"/>
          <w:bCs/>
        </w:rPr>
      </w:pPr>
      <w:r w:rsidRPr="00690F04">
        <w:rPr>
          <w:rFonts w:cs="Arial-BoldMT"/>
          <w:bCs/>
        </w:rPr>
        <w:t xml:space="preserve">i) </w:t>
      </w:r>
      <w:r w:rsidR="00E27F8E" w:rsidRPr="00690F04">
        <w:rPr>
          <w:rFonts w:cs="Arial-BoldMT"/>
          <w:bCs/>
        </w:rPr>
        <w:t>w następstwie zarobkowego</w:t>
      </w:r>
      <w:r w:rsidR="00CB5662" w:rsidRPr="00690F04">
        <w:rPr>
          <w:rFonts w:cs="Arial-BoldMT"/>
          <w:bCs/>
        </w:rPr>
        <w:t xml:space="preserve"> lub rekreacyjnego uprawiania sportów takich jak : sporty motorowe i motorowodne, lotnicze, spinaczka wysokogórska i skałkowa, nurkowanie z aparatem tlenowym, skoki do wody, skoki na linie</w:t>
      </w:r>
      <w:r w:rsidRPr="00690F04">
        <w:rPr>
          <w:rFonts w:cs="Arial-BoldMT"/>
          <w:bCs/>
        </w:rPr>
        <w:t>, spadochronowe, jeśli miało to wpływ na zajście nieszczęśliwego wypadku</w:t>
      </w:r>
    </w:p>
    <w:p w:rsidR="0029183A" w:rsidRPr="00690F04" w:rsidRDefault="0029183A" w:rsidP="00690F04">
      <w:pPr>
        <w:autoSpaceDE w:val="0"/>
        <w:autoSpaceDN w:val="0"/>
        <w:adjustRightInd w:val="0"/>
        <w:spacing w:after="0" w:line="240" w:lineRule="auto"/>
        <w:jc w:val="both"/>
        <w:rPr>
          <w:rFonts w:cs="Arial-BoldMT"/>
          <w:bCs/>
        </w:rPr>
      </w:pPr>
      <w:r w:rsidRPr="00690F04">
        <w:rPr>
          <w:rFonts w:cs="Arial-BoldMT"/>
          <w:bCs/>
        </w:rPr>
        <w:t>j) w wyniku rehabilitacji z wyłączeniem pierwszej rehabilitacji koniecznej w celu usunięcia następstw NW zaistniałego w okresie odpowiedzialności Wykonawcy</w:t>
      </w:r>
    </w:p>
    <w:p w:rsidR="0029183A" w:rsidRPr="00690F04" w:rsidRDefault="0029183A" w:rsidP="00690F04">
      <w:pPr>
        <w:autoSpaceDE w:val="0"/>
        <w:autoSpaceDN w:val="0"/>
        <w:adjustRightInd w:val="0"/>
        <w:spacing w:after="0" w:line="240" w:lineRule="auto"/>
        <w:jc w:val="both"/>
        <w:rPr>
          <w:rFonts w:cs="Arial-BoldMT"/>
          <w:bCs/>
        </w:rPr>
      </w:pPr>
      <w:r w:rsidRPr="00690F04">
        <w:rPr>
          <w:rFonts w:cs="Arial-BoldMT"/>
          <w:bCs/>
        </w:rPr>
        <w:t>7. Operacje chirurgiczne</w:t>
      </w:r>
    </w:p>
    <w:p w:rsidR="0029183A" w:rsidRPr="00690F04" w:rsidRDefault="0029183A" w:rsidP="00690F04">
      <w:pPr>
        <w:autoSpaceDE w:val="0"/>
        <w:autoSpaceDN w:val="0"/>
        <w:adjustRightInd w:val="0"/>
        <w:spacing w:after="0" w:line="240" w:lineRule="auto"/>
        <w:jc w:val="both"/>
        <w:rPr>
          <w:rFonts w:cs="Arial-BoldMT"/>
          <w:bCs/>
        </w:rPr>
      </w:pPr>
      <w:r w:rsidRPr="00690F04">
        <w:rPr>
          <w:rFonts w:cs="Arial-BoldMT"/>
          <w:bCs/>
        </w:rPr>
        <w:t>Wykonawca nie ponosi odpowiedzialności jeżeli konieczność przeprowadzenia operacji chirurgicznej powstała :</w:t>
      </w:r>
    </w:p>
    <w:p w:rsidR="0029183A" w:rsidRPr="00690F04" w:rsidRDefault="0029183A" w:rsidP="00690F04">
      <w:pPr>
        <w:autoSpaceDE w:val="0"/>
        <w:autoSpaceDN w:val="0"/>
        <w:adjustRightInd w:val="0"/>
        <w:spacing w:after="0" w:line="240" w:lineRule="auto"/>
        <w:jc w:val="both"/>
        <w:rPr>
          <w:rFonts w:cs="Arial-BoldMT"/>
          <w:bCs/>
        </w:rPr>
      </w:pPr>
      <w:r w:rsidRPr="00690F04">
        <w:rPr>
          <w:rFonts w:cs="Arial-BoldMT"/>
          <w:bCs/>
        </w:rPr>
        <w:t>a) w wyniku działań wojennych, czynnego udziału w aktach terroru lub udziału ubezpieczonego w masowych rozruchach społecznych</w:t>
      </w:r>
    </w:p>
    <w:p w:rsidR="0029183A" w:rsidRPr="00690F04" w:rsidRDefault="0029183A" w:rsidP="00690F04">
      <w:pPr>
        <w:autoSpaceDE w:val="0"/>
        <w:autoSpaceDN w:val="0"/>
        <w:adjustRightInd w:val="0"/>
        <w:spacing w:after="0" w:line="240" w:lineRule="auto"/>
        <w:jc w:val="both"/>
        <w:rPr>
          <w:rFonts w:cs="Arial-BoldMT"/>
          <w:bCs/>
        </w:rPr>
      </w:pPr>
      <w:r w:rsidRPr="00690F04">
        <w:rPr>
          <w:rFonts w:cs="Arial-BoldMT"/>
          <w:bCs/>
        </w:rPr>
        <w:t>b) w wyniku popełnienia lub usiłowania popełnienia przez Ubezpieczonego czynu, który spełnia ustawowe znamiona przestępstwa umyślnego</w:t>
      </w:r>
    </w:p>
    <w:p w:rsidR="0029183A" w:rsidRPr="00690F04" w:rsidRDefault="0029183A" w:rsidP="00690F04">
      <w:pPr>
        <w:autoSpaceDE w:val="0"/>
        <w:autoSpaceDN w:val="0"/>
        <w:adjustRightInd w:val="0"/>
        <w:spacing w:after="0" w:line="240" w:lineRule="auto"/>
        <w:jc w:val="both"/>
        <w:rPr>
          <w:rFonts w:cs="Arial-BoldMT"/>
          <w:bCs/>
        </w:rPr>
      </w:pPr>
      <w:r w:rsidRPr="00690F04">
        <w:rPr>
          <w:rFonts w:cs="Arial-BoldMT"/>
          <w:bCs/>
        </w:rPr>
        <w:t>c) w wyniku samookaleczenia lub usiłowania popełnienia przez ubezpieczonego samobójstwa</w:t>
      </w:r>
    </w:p>
    <w:p w:rsidR="0029183A" w:rsidRPr="00690F04" w:rsidRDefault="0029183A" w:rsidP="00690F04">
      <w:pPr>
        <w:autoSpaceDE w:val="0"/>
        <w:autoSpaceDN w:val="0"/>
        <w:adjustRightInd w:val="0"/>
        <w:spacing w:after="0" w:line="240" w:lineRule="auto"/>
        <w:jc w:val="both"/>
        <w:rPr>
          <w:rFonts w:cs="Arial-BoldMT"/>
          <w:bCs/>
        </w:rPr>
      </w:pPr>
      <w:r w:rsidRPr="00690F04">
        <w:rPr>
          <w:rFonts w:cs="Arial-BoldMT"/>
          <w:bCs/>
        </w:rPr>
        <w:t>d) w wyniku bezpośrednio zatrucia spowodowanego spożyciem alkoholu, używaniem narkotyków, środków odurzających, substancji psychotropowych lub środków zastępczych w rozumieniu przepisów o przeciwdziałaniu narkomanii, użycia środków farmakologicznych,  a spowodowało to konieczność operacji chirurgicznej</w:t>
      </w:r>
    </w:p>
    <w:p w:rsidR="0029183A" w:rsidRPr="00690F04" w:rsidRDefault="0029183A" w:rsidP="00690F04">
      <w:pPr>
        <w:autoSpaceDE w:val="0"/>
        <w:autoSpaceDN w:val="0"/>
        <w:adjustRightInd w:val="0"/>
        <w:spacing w:after="0" w:line="240" w:lineRule="auto"/>
        <w:jc w:val="both"/>
        <w:rPr>
          <w:rFonts w:cs="Arial-BoldMT"/>
          <w:bCs/>
        </w:rPr>
      </w:pPr>
      <w:r w:rsidRPr="00690F04">
        <w:rPr>
          <w:rFonts w:cs="Arial-BoldMT"/>
          <w:bCs/>
        </w:rPr>
        <w:t>e) w wyniku uszkodzeń ciała spowodowanych leczeniem oraz zabiegami leczniczymi lub diagnostycznymi bez względu na to przez kogo były wykonane, chyba że chodziło o leczenie bezpośrednich następstw NW</w:t>
      </w:r>
    </w:p>
    <w:p w:rsidR="0029183A" w:rsidRPr="00690F04" w:rsidRDefault="0029183A" w:rsidP="00690F04">
      <w:pPr>
        <w:autoSpaceDE w:val="0"/>
        <w:autoSpaceDN w:val="0"/>
        <w:adjustRightInd w:val="0"/>
        <w:spacing w:after="0" w:line="240" w:lineRule="auto"/>
        <w:jc w:val="both"/>
        <w:rPr>
          <w:rFonts w:cs="Arial-BoldMT"/>
          <w:bCs/>
        </w:rPr>
      </w:pPr>
      <w:r w:rsidRPr="00690F04">
        <w:rPr>
          <w:rFonts w:cs="Arial-BoldMT"/>
          <w:bCs/>
        </w:rPr>
        <w:t>f) jeżeli Ubezpieczony był w stanie nietrzeźwości pod wpływem narkotyków, środków odurzających, substancji psychotropowych lub środków zastępczych w rozumieniu przepisów o przeciwdziałaniu narkomanii, użycia środków farmakologicznych</w:t>
      </w:r>
    </w:p>
    <w:p w:rsidR="0029183A" w:rsidRPr="00690F04" w:rsidRDefault="0029183A" w:rsidP="00690F04">
      <w:pPr>
        <w:autoSpaceDE w:val="0"/>
        <w:autoSpaceDN w:val="0"/>
        <w:adjustRightInd w:val="0"/>
        <w:spacing w:after="0" w:line="240" w:lineRule="auto"/>
        <w:jc w:val="both"/>
        <w:rPr>
          <w:rFonts w:cs="Arial-BoldMT"/>
          <w:bCs/>
        </w:rPr>
      </w:pPr>
      <w:r w:rsidRPr="00690F04">
        <w:rPr>
          <w:rFonts w:cs="Arial-BoldMT"/>
          <w:bCs/>
        </w:rPr>
        <w:t>g) jeżeli Ubezpieczony był dawcą organów</w:t>
      </w:r>
    </w:p>
    <w:p w:rsidR="0029183A" w:rsidRPr="00690F04" w:rsidRDefault="0029183A" w:rsidP="00690F04">
      <w:pPr>
        <w:autoSpaceDE w:val="0"/>
        <w:autoSpaceDN w:val="0"/>
        <w:adjustRightInd w:val="0"/>
        <w:spacing w:after="0" w:line="240" w:lineRule="auto"/>
        <w:jc w:val="both"/>
        <w:rPr>
          <w:rFonts w:cs="Arial-BoldMT"/>
          <w:bCs/>
        </w:rPr>
      </w:pPr>
      <w:r w:rsidRPr="00295909">
        <w:rPr>
          <w:rFonts w:cs="Arial-BoldMT"/>
          <w:bCs/>
        </w:rPr>
        <w:t xml:space="preserve">h) </w:t>
      </w:r>
      <w:r w:rsidR="00295909" w:rsidRPr="00295909">
        <w:rPr>
          <w:rFonts w:cs="Arial-BoldMT"/>
          <w:bCs/>
        </w:rPr>
        <w:t>w wyniku</w:t>
      </w:r>
      <w:r w:rsidRPr="00295909">
        <w:rPr>
          <w:rFonts w:cs="Arial-BoldMT"/>
          <w:bCs/>
        </w:rPr>
        <w:t xml:space="preserve"> operacji</w:t>
      </w:r>
      <w:r w:rsidRPr="00690F04">
        <w:rPr>
          <w:rFonts w:cs="Arial-BoldMT"/>
          <w:bCs/>
        </w:rPr>
        <w:t>kosmetycznej lub plastycznej z wyjątkiem operacji chirurgicznej niezbędnej do usunięcia następstw NW zaistniałych lub choroby nowotworowej wykrytej w okresie odpowiedzialności Wykonawcy</w:t>
      </w:r>
    </w:p>
    <w:p w:rsidR="002470A0" w:rsidRPr="00690F04" w:rsidRDefault="002470A0" w:rsidP="00690F04">
      <w:pPr>
        <w:autoSpaceDE w:val="0"/>
        <w:autoSpaceDN w:val="0"/>
        <w:adjustRightInd w:val="0"/>
        <w:spacing w:after="0" w:line="240" w:lineRule="auto"/>
        <w:jc w:val="both"/>
        <w:rPr>
          <w:rFonts w:cs="Arial-BoldMT"/>
          <w:bCs/>
        </w:rPr>
      </w:pPr>
      <w:r w:rsidRPr="00690F04">
        <w:rPr>
          <w:rFonts w:cs="Arial-BoldMT"/>
          <w:bCs/>
        </w:rPr>
        <w:t xml:space="preserve">i) operacji w celu zmniejszenia lub powiększenia piersi lub zmiany płci </w:t>
      </w:r>
    </w:p>
    <w:p w:rsidR="002470A0" w:rsidRPr="00690F04" w:rsidRDefault="002470A0" w:rsidP="00690F04">
      <w:pPr>
        <w:autoSpaceDE w:val="0"/>
        <w:autoSpaceDN w:val="0"/>
        <w:adjustRightInd w:val="0"/>
        <w:spacing w:after="0" w:line="240" w:lineRule="auto"/>
        <w:jc w:val="both"/>
        <w:rPr>
          <w:rFonts w:cs="Arial-BoldMT"/>
          <w:bCs/>
        </w:rPr>
      </w:pPr>
      <w:r w:rsidRPr="00690F04">
        <w:rPr>
          <w:rFonts w:cs="Arial-BoldMT"/>
          <w:bCs/>
        </w:rPr>
        <w:t>j) w celu implantowania zębów z wyjątkiem operacji chirurgicznej niezbędnej do usunięcia następstw NW zaistniałych w okresie odpowiedzialności Wykonawcy</w:t>
      </w:r>
    </w:p>
    <w:p w:rsidR="002470A0" w:rsidRPr="00690F04" w:rsidRDefault="002470A0" w:rsidP="00690F04">
      <w:pPr>
        <w:autoSpaceDE w:val="0"/>
        <w:autoSpaceDN w:val="0"/>
        <w:adjustRightInd w:val="0"/>
        <w:spacing w:after="0" w:line="240" w:lineRule="auto"/>
        <w:jc w:val="both"/>
        <w:rPr>
          <w:rFonts w:cs="Arial-BoldMT"/>
          <w:bCs/>
        </w:rPr>
      </w:pPr>
      <w:r w:rsidRPr="00690F04">
        <w:rPr>
          <w:rFonts w:cs="Arial-BoldMT"/>
          <w:bCs/>
        </w:rPr>
        <w:t>k) w wyniku profesjonalnego uprawiania sportów wysokiego ryzyka takich jak : sporty motorowe i motorowodne, lotnicze, spinaczka wysokogórska i skałkowa, nurkowanie z aparatem tlenowym, skoki do wody, skoki na linie, spadochronowe</w:t>
      </w:r>
    </w:p>
    <w:p w:rsidR="002470A0" w:rsidRPr="00690F04" w:rsidRDefault="002470A0" w:rsidP="00690F04">
      <w:pPr>
        <w:autoSpaceDE w:val="0"/>
        <w:autoSpaceDN w:val="0"/>
        <w:adjustRightInd w:val="0"/>
        <w:spacing w:after="0" w:line="240" w:lineRule="auto"/>
        <w:jc w:val="both"/>
        <w:rPr>
          <w:rFonts w:cs="Arial-BoldMT"/>
          <w:bCs/>
        </w:rPr>
      </w:pPr>
      <w:r w:rsidRPr="00690F04">
        <w:rPr>
          <w:rFonts w:cs="Arial-BoldMT"/>
          <w:bCs/>
        </w:rPr>
        <w:t>l) w wyniku wypadku komunikacyjnego gdy Ubezpieczony prowadził pojazd nie posiadając odpowiednich uprawnień do prowadzenia tego pojazdu, lub gdy Ubezpieczony prowadził pojazd będąc w stanie nietrzeźwości, pod wpływem narkotyków, środków odurzających, substancji psychotropowych czy też środków zastępczych w rozumieniu przepisów o przeciwdziałaniu narkomanii, jeżeli wskazane okoliczności miały wpływ na zajście zdarzenia</w:t>
      </w:r>
    </w:p>
    <w:p w:rsidR="00690F04" w:rsidRPr="00690F04" w:rsidRDefault="002470A0" w:rsidP="00690F04">
      <w:pPr>
        <w:autoSpaceDE w:val="0"/>
        <w:autoSpaceDN w:val="0"/>
        <w:adjustRightInd w:val="0"/>
        <w:spacing w:after="0" w:line="240" w:lineRule="auto"/>
        <w:jc w:val="both"/>
        <w:rPr>
          <w:rFonts w:cs="Arial-BoldMT"/>
          <w:bCs/>
        </w:rPr>
      </w:pPr>
      <w:r w:rsidRPr="00690F04">
        <w:rPr>
          <w:rFonts w:cs="Arial-BoldMT"/>
          <w:bCs/>
        </w:rPr>
        <w:t>m) operacji przeprowadzonej w celu antykoncepcyjnym</w:t>
      </w:r>
    </w:p>
    <w:p w:rsidR="00C16F74" w:rsidRDefault="00C16F74" w:rsidP="00690F04">
      <w:pPr>
        <w:autoSpaceDE w:val="0"/>
        <w:autoSpaceDN w:val="0"/>
        <w:adjustRightInd w:val="0"/>
        <w:spacing w:after="0" w:line="240" w:lineRule="auto"/>
        <w:jc w:val="both"/>
        <w:rPr>
          <w:rFonts w:cs="Arial-BoldMT"/>
          <w:b/>
          <w:bCs/>
        </w:rPr>
      </w:pPr>
    </w:p>
    <w:p w:rsidR="00C16F74" w:rsidRDefault="00C16F74" w:rsidP="00690F04">
      <w:pPr>
        <w:autoSpaceDE w:val="0"/>
        <w:autoSpaceDN w:val="0"/>
        <w:adjustRightInd w:val="0"/>
        <w:spacing w:after="0" w:line="240" w:lineRule="auto"/>
        <w:jc w:val="both"/>
        <w:rPr>
          <w:rFonts w:cs="Arial-BoldMT"/>
          <w:b/>
          <w:bCs/>
        </w:rPr>
      </w:pPr>
    </w:p>
    <w:p w:rsidR="002E5621" w:rsidRPr="00690F04" w:rsidRDefault="00690F04" w:rsidP="00690F04">
      <w:pPr>
        <w:autoSpaceDE w:val="0"/>
        <w:autoSpaceDN w:val="0"/>
        <w:adjustRightInd w:val="0"/>
        <w:spacing w:after="0" w:line="240" w:lineRule="auto"/>
        <w:jc w:val="both"/>
        <w:rPr>
          <w:rFonts w:cs="Arial-BoldMT"/>
          <w:bCs/>
        </w:rPr>
      </w:pPr>
      <w:r>
        <w:rPr>
          <w:rFonts w:cs="Arial-BoldMT"/>
          <w:b/>
          <w:bCs/>
        </w:rPr>
        <w:t>VI</w:t>
      </w:r>
      <w:r w:rsidRPr="00690F04">
        <w:rPr>
          <w:rFonts w:cs="Arial-BoldMT"/>
          <w:b/>
          <w:bCs/>
        </w:rPr>
        <w:t>.</w:t>
      </w:r>
      <w:r w:rsidR="00A851CD" w:rsidRPr="00690F04">
        <w:rPr>
          <w:rFonts w:cs="Arial-BoldMT"/>
          <w:b/>
          <w:bCs/>
        </w:rPr>
        <w:t xml:space="preserve"> Zakres Ubezpieczenia i Wysokość Świadczeń </w:t>
      </w:r>
      <w:r w:rsidR="00995C85" w:rsidRPr="00690F04">
        <w:rPr>
          <w:rFonts w:cs="Arial-BoldMT"/>
          <w:b/>
          <w:bCs/>
        </w:rPr>
        <w:t xml:space="preserve">( w złotych) </w:t>
      </w:r>
      <w:r w:rsidR="00A851CD" w:rsidRPr="00690F04">
        <w:rPr>
          <w:rFonts w:cs="Arial-BoldMT"/>
          <w:b/>
          <w:bCs/>
        </w:rPr>
        <w:t>podzielona na Warianty</w:t>
      </w:r>
    </w:p>
    <w:p w:rsidR="00286FAA" w:rsidRDefault="00286FAA" w:rsidP="00286FAA">
      <w:pPr>
        <w:rPr>
          <w:rFonts w:ascii="Calibri" w:hAnsi="Calibri" w:cs="Tahoma"/>
          <w:b/>
          <w:sz w:val="18"/>
          <w:szCs w:val="18"/>
        </w:rPr>
      </w:pPr>
    </w:p>
    <w:tbl>
      <w:tblPr>
        <w:tblW w:w="8540" w:type="dxa"/>
        <w:jc w:val="center"/>
        <w:tblLayout w:type="fixed"/>
        <w:tblCellMar>
          <w:left w:w="0" w:type="dxa"/>
          <w:right w:w="0" w:type="dxa"/>
        </w:tblCellMar>
        <w:tblLook w:val="04A0"/>
      </w:tblPr>
      <w:tblGrid>
        <w:gridCol w:w="440"/>
        <w:gridCol w:w="3990"/>
        <w:gridCol w:w="1039"/>
        <w:gridCol w:w="1039"/>
        <w:gridCol w:w="1040"/>
        <w:gridCol w:w="992"/>
      </w:tblGrid>
      <w:tr w:rsidR="00701D81" w:rsidTr="00701D81">
        <w:trPr>
          <w:cantSplit/>
          <w:trHeight w:val="726"/>
          <w:jc w:val="center"/>
        </w:trPr>
        <w:tc>
          <w:tcPr>
            <w:tcW w:w="4430" w:type="dxa"/>
            <w:gridSpan w:val="2"/>
            <w:vMerge w:val="restart"/>
            <w:tcBorders>
              <w:top w:val="single" w:sz="4" w:space="0" w:color="000000"/>
              <w:left w:val="single" w:sz="4" w:space="0" w:color="000000"/>
              <w:right w:val="nil"/>
            </w:tcBorders>
            <w:vAlign w:val="center"/>
            <w:hideMark/>
          </w:tcPr>
          <w:p w:rsidR="00701D81" w:rsidRPr="00701D81" w:rsidRDefault="00701D81" w:rsidP="00701D81">
            <w:pPr>
              <w:suppressAutoHyphens/>
              <w:jc w:val="center"/>
              <w:rPr>
                <w:rFonts w:ascii="Calibri" w:hAnsi="Calibri" w:cs="Tahoma"/>
                <w:b/>
                <w:bCs/>
                <w:sz w:val="18"/>
                <w:szCs w:val="18"/>
              </w:rPr>
            </w:pPr>
            <w:r>
              <w:rPr>
                <w:rFonts w:ascii="Calibri" w:hAnsi="Calibri" w:cs="Tahoma"/>
                <w:b/>
                <w:bCs/>
                <w:sz w:val="18"/>
                <w:szCs w:val="18"/>
              </w:rPr>
              <w:t>Pakiet podstawowy</w:t>
            </w:r>
          </w:p>
        </w:tc>
        <w:tc>
          <w:tcPr>
            <w:tcW w:w="3118" w:type="dxa"/>
            <w:gridSpan w:val="3"/>
            <w:tcBorders>
              <w:top w:val="single" w:sz="4" w:space="0" w:color="000000"/>
              <w:left w:val="single" w:sz="4" w:space="0" w:color="000000"/>
              <w:bottom w:val="single" w:sz="4" w:space="0" w:color="000000"/>
              <w:right w:val="single" w:sz="4" w:space="0" w:color="000000"/>
            </w:tcBorders>
            <w:vAlign w:val="center"/>
          </w:tcPr>
          <w:p w:rsidR="00701D81" w:rsidRDefault="00CF0B0F" w:rsidP="00235B4C">
            <w:pPr>
              <w:suppressAutoHyphens/>
              <w:snapToGrid w:val="0"/>
              <w:jc w:val="center"/>
              <w:rPr>
                <w:rFonts w:ascii="Calibri" w:hAnsi="Calibri" w:cs="Calibri"/>
                <w:sz w:val="24"/>
                <w:szCs w:val="24"/>
                <w:lang w:eastAsia="zh-CN"/>
              </w:rPr>
            </w:pPr>
            <w:r>
              <w:rPr>
                <w:rFonts w:ascii="Calibri" w:hAnsi="Calibri" w:cs="Tahoma"/>
                <w:b/>
                <w:bCs/>
                <w:sz w:val="18"/>
                <w:szCs w:val="18"/>
              </w:rPr>
              <w:t>Minimalna w</w:t>
            </w:r>
            <w:r w:rsidR="00701D81">
              <w:rPr>
                <w:rFonts w:ascii="Calibri" w:hAnsi="Calibri" w:cs="Tahoma"/>
                <w:b/>
                <w:bCs/>
                <w:sz w:val="18"/>
                <w:szCs w:val="18"/>
              </w:rPr>
              <w:t>ysokość wypłacanego świadczenia</w:t>
            </w:r>
          </w:p>
        </w:tc>
        <w:tc>
          <w:tcPr>
            <w:tcW w:w="992" w:type="dxa"/>
            <w:tcBorders>
              <w:top w:val="single" w:sz="4" w:space="0" w:color="000000"/>
              <w:left w:val="single" w:sz="4" w:space="0" w:color="000000"/>
              <w:bottom w:val="single" w:sz="4" w:space="0" w:color="000000"/>
              <w:right w:val="single" w:sz="4" w:space="0" w:color="000000"/>
            </w:tcBorders>
            <w:vAlign w:val="center"/>
          </w:tcPr>
          <w:p w:rsidR="00701D81" w:rsidRDefault="00701D81" w:rsidP="00235B4C">
            <w:pPr>
              <w:suppressAutoHyphens/>
              <w:snapToGrid w:val="0"/>
              <w:jc w:val="center"/>
              <w:rPr>
                <w:rFonts w:ascii="Calibri" w:hAnsi="Calibri" w:cs="Calibri"/>
                <w:b/>
                <w:sz w:val="18"/>
                <w:szCs w:val="18"/>
                <w:lang w:eastAsia="zh-CN"/>
              </w:rPr>
            </w:pPr>
            <w:r w:rsidRPr="004F01A3">
              <w:rPr>
                <w:rFonts w:ascii="Calibri" w:hAnsi="Calibri" w:cs="Calibri"/>
                <w:b/>
                <w:sz w:val="18"/>
                <w:szCs w:val="18"/>
                <w:lang w:eastAsia="zh-CN"/>
              </w:rPr>
              <w:t>Punktacja</w:t>
            </w:r>
          </w:p>
          <w:p w:rsidR="009D6D46" w:rsidRPr="004F01A3" w:rsidRDefault="009D6D46" w:rsidP="00235B4C">
            <w:pPr>
              <w:suppressAutoHyphens/>
              <w:snapToGrid w:val="0"/>
              <w:jc w:val="center"/>
              <w:rPr>
                <w:rFonts w:ascii="Calibri" w:hAnsi="Calibri" w:cs="Calibri"/>
                <w:b/>
                <w:sz w:val="18"/>
                <w:szCs w:val="18"/>
                <w:lang w:eastAsia="zh-CN"/>
              </w:rPr>
            </w:pPr>
            <w:r>
              <w:rPr>
                <w:rFonts w:ascii="Calibri" w:hAnsi="Calibri" w:cs="Calibri"/>
                <w:b/>
                <w:sz w:val="18"/>
                <w:szCs w:val="18"/>
                <w:lang w:eastAsia="zh-CN"/>
              </w:rPr>
              <w:t>(waga punktowa)</w:t>
            </w:r>
          </w:p>
        </w:tc>
      </w:tr>
      <w:tr w:rsidR="00701D81" w:rsidTr="00701D81">
        <w:trPr>
          <w:cantSplit/>
          <w:trHeight w:val="379"/>
          <w:jc w:val="center"/>
        </w:trPr>
        <w:tc>
          <w:tcPr>
            <w:tcW w:w="4430" w:type="dxa"/>
            <w:gridSpan w:val="2"/>
            <w:vMerge/>
            <w:tcBorders>
              <w:left w:val="single" w:sz="4" w:space="0" w:color="000000"/>
              <w:bottom w:val="single" w:sz="4" w:space="0" w:color="000000"/>
              <w:right w:val="nil"/>
            </w:tcBorders>
            <w:vAlign w:val="center"/>
          </w:tcPr>
          <w:p w:rsidR="00701D81" w:rsidRDefault="00701D81" w:rsidP="00235B4C">
            <w:pPr>
              <w:suppressAutoHyphens/>
              <w:rPr>
                <w:rFonts w:ascii="Calibri" w:hAnsi="Calibri" w:cs="Tahoma"/>
                <w:sz w:val="18"/>
                <w:szCs w:val="18"/>
              </w:rPr>
            </w:pPr>
          </w:p>
        </w:tc>
        <w:tc>
          <w:tcPr>
            <w:tcW w:w="1039" w:type="dxa"/>
            <w:tcBorders>
              <w:top w:val="single" w:sz="4" w:space="0" w:color="000000"/>
              <w:left w:val="single" w:sz="4" w:space="0" w:color="000000"/>
              <w:bottom w:val="single" w:sz="4" w:space="0" w:color="000000"/>
              <w:right w:val="single" w:sz="4" w:space="0" w:color="000000"/>
            </w:tcBorders>
            <w:vAlign w:val="center"/>
          </w:tcPr>
          <w:p w:rsidR="00701D81" w:rsidRPr="00140590" w:rsidRDefault="00701D81" w:rsidP="00235B4C">
            <w:pPr>
              <w:suppressAutoHyphens/>
              <w:jc w:val="center"/>
              <w:rPr>
                <w:rFonts w:ascii="Calibri" w:hAnsi="Calibri" w:cs="Tahoma"/>
                <w:b/>
                <w:bCs/>
                <w:sz w:val="18"/>
                <w:szCs w:val="18"/>
              </w:rPr>
            </w:pPr>
            <w:r>
              <w:rPr>
                <w:rFonts w:ascii="Calibri" w:hAnsi="Calibri" w:cs="Tahoma"/>
                <w:b/>
                <w:bCs/>
                <w:sz w:val="18"/>
                <w:szCs w:val="18"/>
              </w:rPr>
              <w:t>Wariant</w:t>
            </w:r>
            <w:r w:rsidRPr="00140590">
              <w:rPr>
                <w:rFonts w:ascii="Calibri" w:hAnsi="Calibri" w:cs="Tahoma"/>
                <w:b/>
                <w:bCs/>
                <w:sz w:val="18"/>
                <w:szCs w:val="18"/>
              </w:rPr>
              <w:t xml:space="preserve"> I</w:t>
            </w:r>
          </w:p>
        </w:tc>
        <w:tc>
          <w:tcPr>
            <w:tcW w:w="1039" w:type="dxa"/>
            <w:tcBorders>
              <w:top w:val="single" w:sz="4" w:space="0" w:color="000000"/>
              <w:left w:val="single" w:sz="4" w:space="0" w:color="000000"/>
              <w:bottom w:val="single" w:sz="4" w:space="0" w:color="000000"/>
              <w:right w:val="nil"/>
            </w:tcBorders>
            <w:vAlign w:val="center"/>
          </w:tcPr>
          <w:p w:rsidR="00701D81" w:rsidRPr="00140590" w:rsidRDefault="00701D81" w:rsidP="00235B4C">
            <w:pPr>
              <w:suppressAutoHyphens/>
              <w:jc w:val="center"/>
              <w:rPr>
                <w:rFonts w:ascii="Calibri" w:hAnsi="Calibri" w:cs="Tahoma"/>
                <w:b/>
                <w:bCs/>
                <w:sz w:val="18"/>
                <w:szCs w:val="18"/>
              </w:rPr>
            </w:pPr>
            <w:r>
              <w:rPr>
                <w:rFonts w:ascii="Calibri" w:hAnsi="Calibri" w:cs="Tahoma"/>
                <w:b/>
                <w:bCs/>
                <w:sz w:val="18"/>
                <w:szCs w:val="18"/>
              </w:rPr>
              <w:t>Wariant</w:t>
            </w:r>
            <w:r w:rsidRPr="00140590">
              <w:rPr>
                <w:rFonts w:ascii="Calibri" w:hAnsi="Calibri" w:cs="Tahoma"/>
                <w:b/>
                <w:bCs/>
                <w:sz w:val="18"/>
                <w:szCs w:val="18"/>
              </w:rPr>
              <w:t xml:space="preserve"> II</w:t>
            </w:r>
          </w:p>
        </w:tc>
        <w:tc>
          <w:tcPr>
            <w:tcW w:w="1040" w:type="dxa"/>
            <w:tcBorders>
              <w:top w:val="single" w:sz="4" w:space="0" w:color="000000"/>
              <w:left w:val="single" w:sz="4" w:space="0" w:color="000000"/>
              <w:bottom w:val="single" w:sz="4" w:space="0" w:color="000000"/>
              <w:right w:val="single" w:sz="4" w:space="0" w:color="000000"/>
            </w:tcBorders>
            <w:vAlign w:val="center"/>
          </w:tcPr>
          <w:p w:rsidR="00701D81" w:rsidRDefault="00701D81" w:rsidP="00235B4C">
            <w:pPr>
              <w:suppressAutoHyphens/>
              <w:snapToGrid w:val="0"/>
              <w:jc w:val="center"/>
              <w:rPr>
                <w:rFonts w:ascii="Calibri" w:hAnsi="Calibri" w:cs="Calibri"/>
                <w:sz w:val="24"/>
                <w:szCs w:val="24"/>
                <w:lang w:eastAsia="zh-CN"/>
              </w:rPr>
            </w:pPr>
            <w:r>
              <w:rPr>
                <w:rFonts w:ascii="Calibri" w:hAnsi="Calibri" w:cs="Tahoma"/>
                <w:b/>
                <w:bCs/>
                <w:sz w:val="18"/>
                <w:szCs w:val="18"/>
              </w:rPr>
              <w:t>Wariant</w:t>
            </w:r>
            <w:r w:rsidRPr="00140590">
              <w:rPr>
                <w:rFonts w:ascii="Calibri" w:hAnsi="Calibri" w:cs="Tahoma"/>
                <w:b/>
                <w:bCs/>
                <w:sz w:val="18"/>
                <w:szCs w:val="18"/>
              </w:rPr>
              <w:t xml:space="preserve"> II</w:t>
            </w:r>
            <w:r w:rsidR="00995C85">
              <w:rPr>
                <w:rFonts w:ascii="Calibri" w:hAnsi="Calibri" w:cs="Tahoma"/>
                <w:b/>
                <w:bCs/>
                <w:sz w:val="18"/>
                <w:szCs w:val="18"/>
              </w:rPr>
              <w:t>I</w:t>
            </w:r>
          </w:p>
        </w:tc>
        <w:tc>
          <w:tcPr>
            <w:tcW w:w="992" w:type="dxa"/>
            <w:tcBorders>
              <w:top w:val="single" w:sz="4" w:space="0" w:color="000000"/>
              <w:left w:val="single" w:sz="4" w:space="0" w:color="000000"/>
              <w:bottom w:val="single" w:sz="4" w:space="0" w:color="000000"/>
              <w:right w:val="single" w:sz="4" w:space="0" w:color="000000"/>
            </w:tcBorders>
            <w:vAlign w:val="center"/>
          </w:tcPr>
          <w:p w:rsidR="00701D81" w:rsidRDefault="00701D81" w:rsidP="00235B4C">
            <w:pPr>
              <w:suppressAutoHyphens/>
              <w:snapToGrid w:val="0"/>
              <w:jc w:val="center"/>
              <w:rPr>
                <w:rFonts w:ascii="Calibri" w:hAnsi="Calibri" w:cs="Calibri"/>
                <w:sz w:val="24"/>
                <w:szCs w:val="24"/>
                <w:lang w:eastAsia="zh-CN"/>
              </w:rPr>
            </w:pPr>
          </w:p>
        </w:tc>
      </w:tr>
      <w:tr w:rsidR="00701D81" w:rsidTr="003A12D4">
        <w:trPr>
          <w:cantSplit/>
          <w:trHeight w:val="412"/>
          <w:jc w:val="center"/>
        </w:trPr>
        <w:tc>
          <w:tcPr>
            <w:tcW w:w="440" w:type="dxa"/>
            <w:tcBorders>
              <w:top w:val="nil"/>
              <w:left w:val="single" w:sz="4" w:space="0" w:color="000000"/>
              <w:bottom w:val="single" w:sz="4" w:space="0" w:color="000000"/>
              <w:right w:val="nil"/>
            </w:tcBorders>
            <w:vAlign w:val="center"/>
            <w:hideMark/>
          </w:tcPr>
          <w:p w:rsidR="00701D81" w:rsidRPr="00427FBC" w:rsidRDefault="00701D81" w:rsidP="003A12D4">
            <w:pPr>
              <w:suppressAutoHyphens/>
              <w:jc w:val="center"/>
              <w:rPr>
                <w:sz w:val="18"/>
                <w:szCs w:val="18"/>
                <w:lang w:eastAsia="zh-CN"/>
              </w:rPr>
            </w:pPr>
            <w:r w:rsidRPr="00427FBC">
              <w:rPr>
                <w:rFonts w:cs="Tahoma"/>
                <w:sz w:val="18"/>
                <w:szCs w:val="18"/>
              </w:rPr>
              <w:t>1</w:t>
            </w:r>
          </w:p>
        </w:tc>
        <w:tc>
          <w:tcPr>
            <w:tcW w:w="3990" w:type="dxa"/>
            <w:tcBorders>
              <w:top w:val="nil"/>
              <w:left w:val="single" w:sz="4" w:space="0" w:color="000000"/>
              <w:bottom w:val="single" w:sz="4" w:space="0" w:color="000000"/>
              <w:right w:val="nil"/>
            </w:tcBorders>
            <w:hideMark/>
          </w:tcPr>
          <w:p w:rsidR="00701D81" w:rsidRPr="00427FBC" w:rsidRDefault="00701D81" w:rsidP="00235B4C">
            <w:pPr>
              <w:suppressAutoHyphens/>
              <w:rPr>
                <w:sz w:val="18"/>
                <w:szCs w:val="18"/>
                <w:lang w:eastAsia="zh-CN"/>
              </w:rPr>
            </w:pPr>
            <w:r w:rsidRPr="00427FBC">
              <w:rPr>
                <w:rFonts w:cs="Tahoma"/>
                <w:sz w:val="18"/>
                <w:szCs w:val="18"/>
              </w:rPr>
              <w:t>Śmierć Ubezpieczonego</w:t>
            </w:r>
          </w:p>
        </w:tc>
        <w:tc>
          <w:tcPr>
            <w:tcW w:w="1039" w:type="dxa"/>
            <w:tcBorders>
              <w:top w:val="single" w:sz="4" w:space="0" w:color="000000"/>
              <w:left w:val="single" w:sz="4" w:space="0" w:color="000000"/>
              <w:bottom w:val="single" w:sz="4" w:space="0" w:color="000000"/>
              <w:right w:val="single" w:sz="4" w:space="0" w:color="000000"/>
            </w:tcBorders>
            <w:vAlign w:val="center"/>
          </w:tcPr>
          <w:p w:rsidR="00701D81" w:rsidRPr="00427FBC" w:rsidRDefault="00701D81" w:rsidP="00235B4C">
            <w:pPr>
              <w:suppressAutoHyphens/>
              <w:jc w:val="center"/>
              <w:rPr>
                <w:rFonts w:cs="Tahoma"/>
                <w:b/>
                <w:bCs/>
                <w:sz w:val="18"/>
                <w:szCs w:val="18"/>
              </w:rPr>
            </w:pPr>
            <w:r>
              <w:rPr>
                <w:rFonts w:cs="Tahoma"/>
                <w:b/>
                <w:bCs/>
                <w:sz w:val="18"/>
                <w:szCs w:val="18"/>
              </w:rPr>
              <w:t>33 000</w:t>
            </w:r>
          </w:p>
        </w:tc>
        <w:tc>
          <w:tcPr>
            <w:tcW w:w="1039" w:type="dxa"/>
            <w:tcBorders>
              <w:top w:val="single" w:sz="4" w:space="0" w:color="000000"/>
              <w:left w:val="single" w:sz="4" w:space="0" w:color="000000"/>
              <w:bottom w:val="single" w:sz="4" w:space="0" w:color="000000"/>
              <w:right w:val="nil"/>
            </w:tcBorders>
            <w:vAlign w:val="center"/>
          </w:tcPr>
          <w:p w:rsidR="00701D81" w:rsidRPr="00E423F6" w:rsidRDefault="00995C85" w:rsidP="00235B4C">
            <w:pPr>
              <w:suppressAutoHyphens/>
              <w:jc w:val="center"/>
              <w:rPr>
                <w:b/>
                <w:sz w:val="18"/>
                <w:szCs w:val="18"/>
                <w:lang w:eastAsia="zh-CN"/>
              </w:rPr>
            </w:pPr>
            <w:r w:rsidRPr="00E423F6">
              <w:rPr>
                <w:b/>
                <w:sz w:val="18"/>
                <w:szCs w:val="18"/>
                <w:lang w:eastAsia="zh-CN"/>
              </w:rPr>
              <w:t>44 000</w:t>
            </w:r>
          </w:p>
        </w:tc>
        <w:tc>
          <w:tcPr>
            <w:tcW w:w="1040" w:type="dxa"/>
            <w:tcBorders>
              <w:top w:val="single" w:sz="4" w:space="0" w:color="000000"/>
              <w:left w:val="single" w:sz="4" w:space="0" w:color="000000"/>
              <w:bottom w:val="single" w:sz="4" w:space="0" w:color="000000"/>
              <w:right w:val="single" w:sz="4" w:space="0" w:color="000000"/>
            </w:tcBorders>
            <w:vAlign w:val="center"/>
          </w:tcPr>
          <w:p w:rsidR="00701D81" w:rsidRDefault="004B424B" w:rsidP="00235B4C">
            <w:pPr>
              <w:suppressAutoHyphens/>
              <w:snapToGrid w:val="0"/>
              <w:jc w:val="center"/>
              <w:rPr>
                <w:rFonts w:ascii="Calibri" w:hAnsi="Calibri" w:cs="Calibri"/>
                <w:sz w:val="24"/>
                <w:szCs w:val="24"/>
                <w:lang w:eastAsia="zh-CN"/>
              </w:rPr>
            </w:pPr>
            <w:r>
              <w:rPr>
                <w:b/>
                <w:sz w:val="18"/>
                <w:szCs w:val="18"/>
                <w:lang w:eastAsia="zh-CN"/>
              </w:rPr>
              <w:t>62 500</w:t>
            </w:r>
          </w:p>
        </w:tc>
        <w:tc>
          <w:tcPr>
            <w:tcW w:w="992" w:type="dxa"/>
            <w:tcBorders>
              <w:top w:val="single" w:sz="4" w:space="0" w:color="000000"/>
              <w:left w:val="single" w:sz="4" w:space="0" w:color="000000"/>
              <w:bottom w:val="single" w:sz="4" w:space="0" w:color="000000"/>
              <w:right w:val="single" w:sz="4" w:space="0" w:color="000000"/>
            </w:tcBorders>
            <w:vAlign w:val="center"/>
          </w:tcPr>
          <w:p w:rsidR="00701D81" w:rsidRDefault="00701D81" w:rsidP="00235B4C">
            <w:pPr>
              <w:suppressAutoHyphens/>
              <w:snapToGrid w:val="0"/>
              <w:jc w:val="center"/>
              <w:rPr>
                <w:rFonts w:ascii="Calibri" w:hAnsi="Calibri" w:cs="Calibri"/>
                <w:sz w:val="24"/>
                <w:szCs w:val="24"/>
                <w:lang w:eastAsia="zh-CN"/>
              </w:rPr>
            </w:pPr>
            <w:r>
              <w:rPr>
                <w:rFonts w:ascii="Calibri" w:hAnsi="Calibri" w:cs="Calibri"/>
                <w:sz w:val="24"/>
                <w:szCs w:val="24"/>
                <w:lang w:eastAsia="zh-CN"/>
              </w:rPr>
              <w:t>10</w:t>
            </w:r>
          </w:p>
        </w:tc>
      </w:tr>
      <w:tr w:rsidR="00701D81" w:rsidTr="003A12D4">
        <w:trPr>
          <w:cantSplit/>
          <w:trHeight w:val="510"/>
          <w:jc w:val="center"/>
        </w:trPr>
        <w:tc>
          <w:tcPr>
            <w:tcW w:w="440" w:type="dxa"/>
            <w:tcBorders>
              <w:top w:val="nil"/>
              <w:left w:val="single" w:sz="4" w:space="0" w:color="000000"/>
              <w:bottom w:val="single" w:sz="4" w:space="0" w:color="000000"/>
              <w:right w:val="nil"/>
            </w:tcBorders>
            <w:vAlign w:val="center"/>
            <w:hideMark/>
          </w:tcPr>
          <w:p w:rsidR="00701D81" w:rsidRPr="00427FBC" w:rsidRDefault="00701D81" w:rsidP="003A12D4">
            <w:pPr>
              <w:suppressAutoHyphens/>
              <w:jc w:val="center"/>
              <w:rPr>
                <w:sz w:val="18"/>
                <w:szCs w:val="18"/>
                <w:lang w:eastAsia="zh-CN"/>
              </w:rPr>
            </w:pPr>
            <w:r w:rsidRPr="00427FBC">
              <w:rPr>
                <w:rFonts w:cs="Tahoma"/>
                <w:sz w:val="18"/>
                <w:szCs w:val="18"/>
              </w:rPr>
              <w:t>2</w:t>
            </w:r>
          </w:p>
        </w:tc>
        <w:tc>
          <w:tcPr>
            <w:tcW w:w="3990" w:type="dxa"/>
            <w:tcBorders>
              <w:top w:val="nil"/>
              <w:left w:val="single" w:sz="4" w:space="0" w:color="000000"/>
              <w:bottom w:val="single" w:sz="4" w:space="0" w:color="000000"/>
              <w:right w:val="nil"/>
            </w:tcBorders>
            <w:hideMark/>
          </w:tcPr>
          <w:p w:rsidR="00701D81" w:rsidRPr="00427FBC" w:rsidRDefault="00701D81" w:rsidP="00235B4C">
            <w:pPr>
              <w:suppressAutoHyphens/>
              <w:rPr>
                <w:sz w:val="18"/>
                <w:szCs w:val="18"/>
                <w:lang w:eastAsia="zh-CN"/>
              </w:rPr>
            </w:pPr>
            <w:r w:rsidRPr="00427FBC">
              <w:rPr>
                <w:rFonts w:cs="Tahoma"/>
                <w:sz w:val="18"/>
                <w:szCs w:val="18"/>
              </w:rPr>
              <w:t>Śmierć Ubezpieczonego w wyniku nieszczęśliwego wypadku (wysokość świadczenia obejmuje świadczenie z tytułu zgonu ubezpieczonego)</w:t>
            </w:r>
          </w:p>
        </w:tc>
        <w:tc>
          <w:tcPr>
            <w:tcW w:w="1039" w:type="dxa"/>
            <w:tcBorders>
              <w:top w:val="single" w:sz="4" w:space="0" w:color="000000"/>
              <w:left w:val="single" w:sz="4" w:space="0" w:color="000000"/>
              <w:bottom w:val="single" w:sz="4" w:space="0" w:color="000000"/>
              <w:right w:val="single" w:sz="4" w:space="0" w:color="000000"/>
            </w:tcBorders>
            <w:vAlign w:val="center"/>
          </w:tcPr>
          <w:p w:rsidR="00701D81" w:rsidRPr="00427FBC" w:rsidRDefault="00701D81" w:rsidP="00235B4C">
            <w:pPr>
              <w:suppressAutoHyphens/>
              <w:jc w:val="center"/>
              <w:rPr>
                <w:rFonts w:cs="Tahoma"/>
                <w:b/>
                <w:bCs/>
                <w:sz w:val="18"/>
                <w:szCs w:val="18"/>
              </w:rPr>
            </w:pPr>
            <w:r>
              <w:rPr>
                <w:rFonts w:cs="Tahoma"/>
                <w:b/>
                <w:bCs/>
                <w:sz w:val="18"/>
                <w:szCs w:val="18"/>
              </w:rPr>
              <w:t>65 000</w:t>
            </w:r>
          </w:p>
        </w:tc>
        <w:tc>
          <w:tcPr>
            <w:tcW w:w="1039" w:type="dxa"/>
            <w:tcBorders>
              <w:top w:val="single" w:sz="4" w:space="0" w:color="000000"/>
              <w:left w:val="single" w:sz="4" w:space="0" w:color="000000"/>
              <w:bottom w:val="single" w:sz="4" w:space="0" w:color="000000"/>
              <w:right w:val="nil"/>
            </w:tcBorders>
            <w:vAlign w:val="center"/>
          </w:tcPr>
          <w:p w:rsidR="00701D81" w:rsidRPr="00E423F6" w:rsidRDefault="00995C85" w:rsidP="00235B4C">
            <w:pPr>
              <w:suppressAutoHyphens/>
              <w:jc w:val="center"/>
              <w:rPr>
                <w:b/>
                <w:sz w:val="18"/>
                <w:szCs w:val="18"/>
                <w:lang w:eastAsia="zh-CN"/>
              </w:rPr>
            </w:pPr>
            <w:r w:rsidRPr="00E423F6">
              <w:rPr>
                <w:b/>
                <w:sz w:val="18"/>
                <w:szCs w:val="18"/>
                <w:lang w:eastAsia="zh-CN"/>
              </w:rPr>
              <w:t>88 000</w:t>
            </w:r>
          </w:p>
        </w:tc>
        <w:tc>
          <w:tcPr>
            <w:tcW w:w="1040" w:type="dxa"/>
            <w:tcBorders>
              <w:top w:val="single" w:sz="4" w:space="0" w:color="000000"/>
              <w:left w:val="single" w:sz="4" w:space="0" w:color="000000"/>
              <w:bottom w:val="single" w:sz="4" w:space="0" w:color="000000"/>
              <w:right w:val="single" w:sz="4" w:space="0" w:color="000000"/>
            </w:tcBorders>
            <w:vAlign w:val="center"/>
          </w:tcPr>
          <w:p w:rsidR="00701D81" w:rsidRDefault="004B424B" w:rsidP="00235B4C">
            <w:pPr>
              <w:suppressAutoHyphens/>
              <w:snapToGrid w:val="0"/>
              <w:jc w:val="center"/>
              <w:rPr>
                <w:rFonts w:ascii="Calibri" w:hAnsi="Calibri" w:cs="Calibri"/>
                <w:sz w:val="24"/>
                <w:szCs w:val="24"/>
                <w:lang w:eastAsia="zh-CN"/>
              </w:rPr>
            </w:pPr>
            <w:r>
              <w:rPr>
                <w:b/>
                <w:sz w:val="18"/>
                <w:szCs w:val="18"/>
                <w:lang w:eastAsia="zh-CN"/>
              </w:rPr>
              <w:t>125 000</w:t>
            </w:r>
          </w:p>
        </w:tc>
        <w:tc>
          <w:tcPr>
            <w:tcW w:w="992" w:type="dxa"/>
            <w:tcBorders>
              <w:top w:val="single" w:sz="4" w:space="0" w:color="000000"/>
              <w:left w:val="single" w:sz="4" w:space="0" w:color="000000"/>
              <w:bottom w:val="single" w:sz="4" w:space="0" w:color="000000"/>
              <w:right w:val="single" w:sz="4" w:space="0" w:color="000000"/>
            </w:tcBorders>
            <w:vAlign w:val="center"/>
          </w:tcPr>
          <w:p w:rsidR="00701D81" w:rsidRDefault="005D1495" w:rsidP="00235B4C">
            <w:pPr>
              <w:suppressAutoHyphens/>
              <w:snapToGrid w:val="0"/>
              <w:jc w:val="center"/>
              <w:rPr>
                <w:rFonts w:ascii="Calibri" w:hAnsi="Calibri" w:cs="Calibri"/>
                <w:sz w:val="24"/>
                <w:szCs w:val="24"/>
                <w:lang w:eastAsia="zh-CN"/>
              </w:rPr>
            </w:pPr>
            <w:r>
              <w:rPr>
                <w:rFonts w:ascii="Calibri" w:hAnsi="Calibri" w:cs="Calibri"/>
                <w:sz w:val="24"/>
                <w:szCs w:val="24"/>
                <w:lang w:eastAsia="zh-CN"/>
              </w:rPr>
              <w:t>2</w:t>
            </w:r>
          </w:p>
        </w:tc>
      </w:tr>
      <w:tr w:rsidR="00701D81" w:rsidTr="003A12D4">
        <w:trPr>
          <w:cantSplit/>
          <w:trHeight w:val="876"/>
          <w:jc w:val="center"/>
        </w:trPr>
        <w:tc>
          <w:tcPr>
            <w:tcW w:w="440" w:type="dxa"/>
            <w:tcBorders>
              <w:top w:val="nil"/>
              <w:left w:val="single" w:sz="4" w:space="0" w:color="000000"/>
              <w:bottom w:val="single" w:sz="4" w:space="0" w:color="000000"/>
              <w:right w:val="nil"/>
            </w:tcBorders>
            <w:vAlign w:val="center"/>
            <w:hideMark/>
          </w:tcPr>
          <w:p w:rsidR="00701D81" w:rsidRPr="00427FBC" w:rsidRDefault="00701D81" w:rsidP="003A12D4">
            <w:pPr>
              <w:suppressAutoHyphens/>
              <w:jc w:val="center"/>
              <w:rPr>
                <w:sz w:val="18"/>
                <w:szCs w:val="18"/>
                <w:lang w:eastAsia="zh-CN"/>
              </w:rPr>
            </w:pPr>
            <w:r w:rsidRPr="00427FBC">
              <w:rPr>
                <w:rFonts w:cs="Tahoma"/>
                <w:sz w:val="18"/>
                <w:szCs w:val="18"/>
              </w:rPr>
              <w:t>3</w:t>
            </w:r>
          </w:p>
        </w:tc>
        <w:tc>
          <w:tcPr>
            <w:tcW w:w="3990" w:type="dxa"/>
            <w:tcBorders>
              <w:top w:val="nil"/>
              <w:left w:val="single" w:sz="4" w:space="0" w:color="000000"/>
              <w:bottom w:val="single" w:sz="4" w:space="0" w:color="000000"/>
              <w:right w:val="nil"/>
            </w:tcBorders>
            <w:hideMark/>
          </w:tcPr>
          <w:p w:rsidR="00701D81" w:rsidRPr="00427FBC" w:rsidRDefault="00701D81" w:rsidP="00235B4C">
            <w:pPr>
              <w:suppressAutoHyphens/>
              <w:rPr>
                <w:sz w:val="18"/>
                <w:szCs w:val="18"/>
                <w:lang w:eastAsia="zh-CN"/>
              </w:rPr>
            </w:pPr>
            <w:r w:rsidRPr="00427FBC">
              <w:rPr>
                <w:rFonts w:cs="Tahoma"/>
                <w:sz w:val="18"/>
                <w:szCs w:val="18"/>
              </w:rPr>
              <w:t>Śmierć Ubezpieczonego w wyniku wypadku komunikacyjnego</w:t>
            </w:r>
          </w:p>
        </w:tc>
        <w:tc>
          <w:tcPr>
            <w:tcW w:w="1039" w:type="dxa"/>
            <w:tcBorders>
              <w:top w:val="single" w:sz="4" w:space="0" w:color="000000"/>
              <w:left w:val="single" w:sz="4" w:space="0" w:color="000000"/>
              <w:bottom w:val="single" w:sz="4" w:space="0" w:color="000000"/>
              <w:right w:val="single" w:sz="4" w:space="0" w:color="000000"/>
            </w:tcBorders>
            <w:vAlign w:val="center"/>
          </w:tcPr>
          <w:p w:rsidR="00701D81" w:rsidRPr="00427FBC" w:rsidRDefault="00701D81" w:rsidP="00235B4C">
            <w:pPr>
              <w:suppressAutoHyphens/>
              <w:jc w:val="center"/>
              <w:rPr>
                <w:rFonts w:cs="Tahoma"/>
                <w:b/>
                <w:bCs/>
                <w:sz w:val="18"/>
                <w:szCs w:val="18"/>
              </w:rPr>
            </w:pPr>
            <w:r>
              <w:rPr>
                <w:rFonts w:cs="Tahoma"/>
                <w:b/>
                <w:bCs/>
                <w:sz w:val="18"/>
                <w:szCs w:val="18"/>
              </w:rPr>
              <w:t>125 000</w:t>
            </w:r>
          </w:p>
        </w:tc>
        <w:tc>
          <w:tcPr>
            <w:tcW w:w="1039" w:type="dxa"/>
            <w:tcBorders>
              <w:top w:val="single" w:sz="4" w:space="0" w:color="000000"/>
              <w:left w:val="single" w:sz="4" w:space="0" w:color="000000"/>
              <w:bottom w:val="single" w:sz="4" w:space="0" w:color="000000"/>
              <w:right w:val="nil"/>
            </w:tcBorders>
            <w:vAlign w:val="center"/>
          </w:tcPr>
          <w:p w:rsidR="00701D81" w:rsidRPr="00E423F6" w:rsidRDefault="00995C85" w:rsidP="00235B4C">
            <w:pPr>
              <w:suppressAutoHyphens/>
              <w:jc w:val="center"/>
              <w:rPr>
                <w:b/>
                <w:sz w:val="18"/>
                <w:szCs w:val="18"/>
                <w:lang w:eastAsia="zh-CN"/>
              </w:rPr>
            </w:pPr>
            <w:r w:rsidRPr="00E423F6">
              <w:rPr>
                <w:b/>
                <w:sz w:val="18"/>
                <w:szCs w:val="18"/>
                <w:lang w:eastAsia="zh-CN"/>
              </w:rPr>
              <w:t>131 000</w:t>
            </w:r>
          </w:p>
        </w:tc>
        <w:tc>
          <w:tcPr>
            <w:tcW w:w="1040" w:type="dxa"/>
            <w:tcBorders>
              <w:top w:val="single" w:sz="4" w:space="0" w:color="000000"/>
              <w:left w:val="single" w:sz="4" w:space="0" w:color="000000"/>
              <w:bottom w:val="single" w:sz="4" w:space="0" w:color="000000"/>
              <w:right w:val="single" w:sz="4" w:space="0" w:color="000000"/>
            </w:tcBorders>
            <w:vAlign w:val="center"/>
          </w:tcPr>
          <w:p w:rsidR="00701D81" w:rsidRDefault="004B424B" w:rsidP="00235B4C">
            <w:pPr>
              <w:suppressAutoHyphens/>
              <w:snapToGrid w:val="0"/>
              <w:jc w:val="center"/>
              <w:rPr>
                <w:rFonts w:ascii="Calibri" w:hAnsi="Calibri" w:cs="Calibri"/>
                <w:sz w:val="24"/>
                <w:szCs w:val="24"/>
                <w:lang w:eastAsia="zh-CN"/>
              </w:rPr>
            </w:pPr>
            <w:r>
              <w:rPr>
                <w:b/>
                <w:sz w:val="18"/>
                <w:szCs w:val="18"/>
                <w:lang w:eastAsia="zh-CN"/>
              </w:rPr>
              <w:t>177 500</w:t>
            </w:r>
          </w:p>
        </w:tc>
        <w:tc>
          <w:tcPr>
            <w:tcW w:w="992" w:type="dxa"/>
            <w:tcBorders>
              <w:top w:val="single" w:sz="4" w:space="0" w:color="000000"/>
              <w:left w:val="single" w:sz="4" w:space="0" w:color="000000"/>
              <w:bottom w:val="single" w:sz="4" w:space="0" w:color="000000"/>
              <w:right w:val="single" w:sz="4" w:space="0" w:color="000000"/>
            </w:tcBorders>
            <w:vAlign w:val="center"/>
          </w:tcPr>
          <w:p w:rsidR="00701D81" w:rsidRDefault="00701D81" w:rsidP="00235B4C">
            <w:pPr>
              <w:suppressAutoHyphens/>
              <w:snapToGrid w:val="0"/>
              <w:jc w:val="center"/>
              <w:rPr>
                <w:rFonts w:ascii="Calibri" w:hAnsi="Calibri" w:cs="Calibri"/>
                <w:sz w:val="24"/>
                <w:szCs w:val="24"/>
                <w:lang w:eastAsia="zh-CN"/>
              </w:rPr>
            </w:pPr>
            <w:r>
              <w:rPr>
                <w:rFonts w:ascii="Calibri" w:hAnsi="Calibri" w:cs="Calibri"/>
                <w:sz w:val="24"/>
                <w:szCs w:val="24"/>
                <w:lang w:eastAsia="zh-CN"/>
              </w:rPr>
              <w:t>2</w:t>
            </w:r>
          </w:p>
        </w:tc>
      </w:tr>
      <w:tr w:rsidR="00701D81" w:rsidTr="003A12D4">
        <w:trPr>
          <w:cantSplit/>
          <w:trHeight w:val="876"/>
          <w:jc w:val="center"/>
        </w:trPr>
        <w:tc>
          <w:tcPr>
            <w:tcW w:w="440" w:type="dxa"/>
            <w:tcBorders>
              <w:top w:val="nil"/>
              <w:left w:val="single" w:sz="4" w:space="0" w:color="000000"/>
              <w:bottom w:val="single" w:sz="4" w:space="0" w:color="000000"/>
              <w:right w:val="nil"/>
            </w:tcBorders>
            <w:vAlign w:val="center"/>
          </w:tcPr>
          <w:p w:rsidR="00701D81" w:rsidRPr="00427FBC" w:rsidRDefault="00701D81" w:rsidP="003A12D4">
            <w:pPr>
              <w:suppressAutoHyphens/>
              <w:jc w:val="center"/>
              <w:rPr>
                <w:sz w:val="18"/>
                <w:szCs w:val="18"/>
                <w:lang w:eastAsia="zh-CN"/>
              </w:rPr>
            </w:pPr>
            <w:r w:rsidRPr="00427FBC">
              <w:rPr>
                <w:rFonts w:cs="Tahoma"/>
                <w:sz w:val="18"/>
                <w:szCs w:val="18"/>
              </w:rPr>
              <w:t>4</w:t>
            </w:r>
          </w:p>
        </w:tc>
        <w:tc>
          <w:tcPr>
            <w:tcW w:w="3990" w:type="dxa"/>
            <w:tcBorders>
              <w:top w:val="nil"/>
              <w:left w:val="single" w:sz="4" w:space="0" w:color="000000"/>
              <w:bottom w:val="single" w:sz="4" w:space="0" w:color="000000"/>
              <w:right w:val="nil"/>
            </w:tcBorders>
          </w:tcPr>
          <w:p w:rsidR="00701D81" w:rsidRPr="00427FBC" w:rsidRDefault="00701D81" w:rsidP="00235B4C">
            <w:pPr>
              <w:suppressAutoHyphens/>
              <w:rPr>
                <w:rFonts w:cs="Tahoma"/>
                <w:sz w:val="18"/>
                <w:szCs w:val="18"/>
              </w:rPr>
            </w:pPr>
            <w:r>
              <w:rPr>
                <w:rFonts w:cs="Tahoma"/>
                <w:sz w:val="18"/>
                <w:szCs w:val="18"/>
              </w:rPr>
              <w:t>Śmierć Ubezpieczonego w następstwie wypadku komunikacyjnego przy pracy</w:t>
            </w:r>
          </w:p>
        </w:tc>
        <w:tc>
          <w:tcPr>
            <w:tcW w:w="1039" w:type="dxa"/>
            <w:tcBorders>
              <w:top w:val="single" w:sz="4" w:space="0" w:color="000000"/>
              <w:left w:val="single" w:sz="4" w:space="0" w:color="000000"/>
              <w:bottom w:val="single" w:sz="4" w:space="0" w:color="000000"/>
              <w:right w:val="single" w:sz="4" w:space="0" w:color="000000"/>
            </w:tcBorders>
            <w:vAlign w:val="center"/>
          </w:tcPr>
          <w:p w:rsidR="00701D81" w:rsidRDefault="00701D81" w:rsidP="00235B4C">
            <w:pPr>
              <w:suppressAutoHyphens/>
              <w:jc w:val="center"/>
              <w:rPr>
                <w:rFonts w:cs="Tahoma"/>
                <w:b/>
                <w:bCs/>
                <w:sz w:val="18"/>
                <w:szCs w:val="18"/>
              </w:rPr>
            </w:pPr>
            <w:r>
              <w:rPr>
                <w:rFonts w:cs="Tahoma"/>
                <w:b/>
                <w:bCs/>
                <w:sz w:val="18"/>
                <w:szCs w:val="18"/>
              </w:rPr>
              <w:t>125 000</w:t>
            </w:r>
          </w:p>
        </w:tc>
        <w:tc>
          <w:tcPr>
            <w:tcW w:w="1039" w:type="dxa"/>
            <w:tcBorders>
              <w:top w:val="single" w:sz="4" w:space="0" w:color="000000"/>
              <w:left w:val="single" w:sz="4" w:space="0" w:color="000000"/>
              <w:bottom w:val="single" w:sz="4" w:space="0" w:color="000000"/>
              <w:right w:val="nil"/>
            </w:tcBorders>
            <w:vAlign w:val="center"/>
          </w:tcPr>
          <w:p w:rsidR="00701D81" w:rsidRPr="00E423F6" w:rsidRDefault="00995C85" w:rsidP="00235B4C">
            <w:pPr>
              <w:suppressAutoHyphens/>
              <w:jc w:val="center"/>
              <w:rPr>
                <w:b/>
                <w:sz w:val="18"/>
                <w:szCs w:val="18"/>
                <w:lang w:eastAsia="zh-CN"/>
              </w:rPr>
            </w:pPr>
            <w:r w:rsidRPr="00E423F6">
              <w:rPr>
                <w:b/>
                <w:sz w:val="18"/>
                <w:szCs w:val="18"/>
                <w:lang w:eastAsia="zh-CN"/>
              </w:rPr>
              <w:t>131 000</w:t>
            </w:r>
          </w:p>
        </w:tc>
        <w:tc>
          <w:tcPr>
            <w:tcW w:w="1040" w:type="dxa"/>
            <w:tcBorders>
              <w:top w:val="single" w:sz="4" w:space="0" w:color="000000"/>
              <w:left w:val="single" w:sz="4" w:space="0" w:color="000000"/>
              <w:bottom w:val="single" w:sz="4" w:space="0" w:color="000000"/>
              <w:right w:val="single" w:sz="4" w:space="0" w:color="000000"/>
            </w:tcBorders>
            <w:vAlign w:val="center"/>
          </w:tcPr>
          <w:p w:rsidR="00701D81" w:rsidRDefault="004B424B" w:rsidP="00235B4C">
            <w:pPr>
              <w:suppressAutoHyphens/>
              <w:snapToGrid w:val="0"/>
              <w:jc w:val="center"/>
              <w:rPr>
                <w:rFonts w:ascii="Calibri" w:hAnsi="Calibri" w:cs="Calibri"/>
                <w:sz w:val="24"/>
                <w:szCs w:val="24"/>
                <w:lang w:eastAsia="zh-CN"/>
              </w:rPr>
            </w:pPr>
            <w:r>
              <w:rPr>
                <w:b/>
                <w:sz w:val="18"/>
                <w:szCs w:val="18"/>
                <w:lang w:eastAsia="zh-CN"/>
              </w:rPr>
              <w:t>200 000</w:t>
            </w:r>
          </w:p>
        </w:tc>
        <w:tc>
          <w:tcPr>
            <w:tcW w:w="992" w:type="dxa"/>
            <w:tcBorders>
              <w:top w:val="single" w:sz="4" w:space="0" w:color="000000"/>
              <w:left w:val="single" w:sz="4" w:space="0" w:color="000000"/>
              <w:bottom w:val="single" w:sz="4" w:space="0" w:color="000000"/>
              <w:right w:val="single" w:sz="4" w:space="0" w:color="000000"/>
            </w:tcBorders>
            <w:vAlign w:val="center"/>
          </w:tcPr>
          <w:p w:rsidR="00701D81" w:rsidRDefault="00701D81" w:rsidP="00235B4C">
            <w:pPr>
              <w:suppressAutoHyphens/>
              <w:snapToGrid w:val="0"/>
              <w:jc w:val="center"/>
              <w:rPr>
                <w:rFonts w:ascii="Calibri" w:hAnsi="Calibri" w:cs="Calibri"/>
                <w:sz w:val="24"/>
                <w:szCs w:val="24"/>
                <w:lang w:eastAsia="zh-CN"/>
              </w:rPr>
            </w:pPr>
            <w:r>
              <w:rPr>
                <w:rFonts w:ascii="Calibri" w:hAnsi="Calibri" w:cs="Calibri"/>
                <w:sz w:val="24"/>
                <w:szCs w:val="24"/>
                <w:lang w:eastAsia="zh-CN"/>
              </w:rPr>
              <w:t>2</w:t>
            </w:r>
          </w:p>
        </w:tc>
      </w:tr>
      <w:tr w:rsidR="00701D81" w:rsidTr="003A12D4">
        <w:trPr>
          <w:cantSplit/>
          <w:trHeight w:val="876"/>
          <w:jc w:val="center"/>
        </w:trPr>
        <w:tc>
          <w:tcPr>
            <w:tcW w:w="440" w:type="dxa"/>
            <w:tcBorders>
              <w:top w:val="nil"/>
              <w:left w:val="single" w:sz="4" w:space="0" w:color="000000"/>
              <w:bottom w:val="single" w:sz="4" w:space="0" w:color="000000"/>
              <w:right w:val="nil"/>
            </w:tcBorders>
            <w:vAlign w:val="center"/>
          </w:tcPr>
          <w:p w:rsidR="00701D81" w:rsidRPr="00427FBC" w:rsidRDefault="00701D81" w:rsidP="003A12D4">
            <w:pPr>
              <w:suppressAutoHyphens/>
              <w:jc w:val="center"/>
              <w:rPr>
                <w:sz w:val="18"/>
                <w:szCs w:val="18"/>
                <w:lang w:eastAsia="zh-CN"/>
              </w:rPr>
            </w:pPr>
            <w:r w:rsidRPr="00427FBC">
              <w:rPr>
                <w:rFonts w:cs="Tahoma"/>
                <w:sz w:val="18"/>
                <w:szCs w:val="18"/>
              </w:rPr>
              <w:t>5</w:t>
            </w:r>
          </w:p>
        </w:tc>
        <w:tc>
          <w:tcPr>
            <w:tcW w:w="3990" w:type="dxa"/>
            <w:tcBorders>
              <w:top w:val="nil"/>
              <w:left w:val="single" w:sz="4" w:space="0" w:color="000000"/>
              <w:bottom w:val="single" w:sz="4" w:space="0" w:color="000000"/>
              <w:right w:val="nil"/>
            </w:tcBorders>
          </w:tcPr>
          <w:p w:rsidR="00701D81" w:rsidRPr="00427FBC" w:rsidRDefault="00701D81" w:rsidP="00235B4C">
            <w:pPr>
              <w:suppressAutoHyphens/>
              <w:rPr>
                <w:rFonts w:cs="Tahoma"/>
                <w:sz w:val="18"/>
                <w:szCs w:val="18"/>
              </w:rPr>
            </w:pPr>
            <w:r>
              <w:rPr>
                <w:rFonts w:cs="Tahoma"/>
                <w:sz w:val="18"/>
                <w:szCs w:val="18"/>
              </w:rPr>
              <w:t>Śmierć Ubezpieczonego w następstwie wypadku przy pracy</w:t>
            </w:r>
          </w:p>
        </w:tc>
        <w:tc>
          <w:tcPr>
            <w:tcW w:w="1039" w:type="dxa"/>
            <w:tcBorders>
              <w:top w:val="single" w:sz="4" w:space="0" w:color="000000"/>
              <w:left w:val="single" w:sz="4" w:space="0" w:color="000000"/>
              <w:bottom w:val="single" w:sz="4" w:space="0" w:color="000000"/>
              <w:right w:val="single" w:sz="4" w:space="0" w:color="000000"/>
            </w:tcBorders>
            <w:vAlign w:val="center"/>
          </w:tcPr>
          <w:p w:rsidR="00701D81" w:rsidRPr="00427FBC" w:rsidRDefault="00701D81" w:rsidP="00235B4C">
            <w:pPr>
              <w:suppressAutoHyphens/>
              <w:jc w:val="center"/>
              <w:rPr>
                <w:rFonts w:cs="Tahoma"/>
                <w:b/>
                <w:bCs/>
                <w:sz w:val="18"/>
                <w:szCs w:val="18"/>
              </w:rPr>
            </w:pPr>
            <w:r>
              <w:rPr>
                <w:rFonts w:cs="Tahoma"/>
                <w:b/>
                <w:bCs/>
                <w:sz w:val="18"/>
                <w:szCs w:val="18"/>
              </w:rPr>
              <w:t>65 000</w:t>
            </w:r>
          </w:p>
        </w:tc>
        <w:tc>
          <w:tcPr>
            <w:tcW w:w="1039" w:type="dxa"/>
            <w:tcBorders>
              <w:top w:val="single" w:sz="4" w:space="0" w:color="000000"/>
              <w:left w:val="single" w:sz="4" w:space="0" w:color="000000"/>
              <w:bottom w:val="single" w:sz="4" w:space="0" w:color="000000"/>
              <w:right w:val="nil"/>
            </w:tcBorders>
            <w:vAlign w:val="center"/>
          </w:tcPr>
          <w:p w:rsidR="00701D81" w:rsidRPr="00E423F6" w:rsidRDefault="00995C85" w:rsidP="00235B4C">
            <w:pPr>
              <w:suppressAutoHyphens/>
              <w:jc w:val="center"/>
              <w:rPr>
                <w:b/>
                <w:sz w:val="18"/>
                <w:szCs w:val="18"/>
                <w:lang w:eastAsia="zh-CN"/>
              </w:rPr>
            </w:pPr>
            <w:r w:rsidRPr="00E423F6">
              <w:rPr>
                <w:b/>
                <w:sz w:val="18"/>
                <w:szCs w:val="18"/>
                <w:lang w:eastAsia="zh-CN"/>
              </w:rPr>
              <w:t>88 000</w:t>
            </w:r>
          </w:p>
        </w:tc>
        <w:tc>
          <w:tcPr>
            <w:tcW w:w="1040" w:type="dxa"/>
            <w:tcBorders>
              <w:top w:val="single" w:sz="4" w:space="0" w:color="000000"/>
              <w:left w:val="single" w:sz="4" w:space="0" w:color="000000"/>
              <w:bottom w:val="single" w:sz="4" w:space="0" w:color="000000"/>
              <w:right w:val="single" w:sz="4" w:space="0" w:color="000000"/>
            </w:tcBorders>
            <w:vAlign w:val="center"/>
          </w:tcPr>
          <w:p w:rsidR="00701D81" w:rsidRDefault="004B424B" w:rsidP="00235B4C">
            <w:pPr>
              <w:suppressAutoHyphens/>
              <w:snapToGrid w:val="0"/>
              <w:jc w:val="center"/>
              <w:rPr>
                <w:rFonts w:ascii="Calibri" w:hAnsi="Calibri" w:cs="Calibri"/>
                <w:sz w:val="24"/>
                <w:szCs w:val="24"/>
                <w:lang w:eastAsia="zh-CN"/>
              </w:rPr>
            </w:pPr>
            <w:r>
              <w:rPr>
                <w:b/>
                <w:sz w:val="18"/>
                <w:szCs w:val="18"/>
                <w:lang w:eastAsia="zh-CN"/>
              </w:rPr>
              <w:t>147 500</w:t>
            </w:r>
          </w:p>
        </w:tc>
        <w:tc>
          <w:tcPr>
            <w:tcW w:w="992" w:type="dxa"/>
            <w:tcBorders>
              <w:top w:val="single" w:sz="4" w:space="0" w:color="000000"/>
              <w:left w:val="single" w:sz="4" w:space="0" w:color="000000"/>
              <w:bottom w:val="single" w:sz="4" w:space="0" w:color="000000"/>
              <w:right w:val="single" w:sz="4" w:space="0" w:color="000000"/>
            </w:tcBorders>
            <w:vAlign w:val="center"/>
          </w:tcPr>
          <w:p w:rsidR="00701D81" w:rsidRDefault="005D1495" w:rsidP="00235B4C">
            <w:pPr>
              <w:suppressAutoHyphens/>
              <w:snapToGrid w:val="0"/>
              <w:jc w:val="center"/>
              <w:rPr>
                <w:rFonts w:ascii="Calibri" w:hAnsi="Calibri" w:cs="Calibri"/>
                <w:sz w:val="24"/>
                <w:szCs w:val="24"/>
                <w:lang w:eastAsia="zh-CN"/>
              </w:rPr>
            </w:pPr>
            <w:r>
              <w:rPr>
                <w:rFonts w:ascii="Calibri" w:hAnsi="Calibri" w:cs="Calibri"/>
                <w:sz w:val="24"/>
                <w:szCs w:val="24"/>
                <w:lang w:eastAsia="zh-CN"/>
              </w:rPr>
              <w:t>2</w:t>
            </w:r>
          </w:p>
        </w:tc>
      </w:tr>
      <w:tr w:rsidR="00701D81" w:rsidTr="003A12D4">
        <w:trPr>
          <w:cantSplit/>
          <w:trHeight w:val="876"/>
          <w:jc w:val="center"/>
        </w:trPr>
        <w:tc>
          <w:tcPr>
            <w:tcW w:w="440" w:type="dxa"/>
            <w:tcBorders>
              <w:top w:val="nil"/>
              <w:left w:val="single" w:sz="4" w:space="0" w:color="000000"/>
              <w:bottom w:val="single" w:sz="4" w:space="0" w:color="000000"/>
              <w:right w:val="nil"/>
            </w:tcBorders>
            <w:vAlign w:val="center"/>
          </w:tcPr>
          <w:p w:rsidR="00701D81" w:rsidRPr="00427FBC" w:rsidRDefault="00701D81" w:rsidP="003A12D4">
            <w:pPr>
              <w:suppressAutoHyphens/>
              <w:jc w:val="center"/>
              <w:rPr>
                <w:sz w:val="18"/>
                <w:szCs w:val="18"/>
                <w:lang w:eastAsia="zh-CN"/>
              </w:rPr>
            </w:pPr>
            <w:r w:rsidRPr="00427FBC">
              <w:rPr>
                <w:rFonts w:cs="Tahoma"/>
                <w:sz w:val="18"/>
                <w:szCs w:val="18"/>
              </w:rPr>
              <w:t>6</w:t>
            </w:r>
          </w:p>
        </w:tc>
        <w:tc>
          <w:tcPr>
            <w:tcW w:w="3990" w:type="dxa"/>
            <w:tcBorders>
              <w:top w:val="nil"/>
              <w:left w:val="single" w:sz="4" w:space="0" w:color="000000"/>
              <w:bottom w:val="single" w:sz="4" w:space="0" w:color="000000"/>
              <w:right w:val="nil"/>
            </w:tcBorders>
          </w:tcPr>
          <w:p w:rsidR="00701D81" w:rsidRPr="00427FBC" w:rsidRDefault="00701D81" w:rsidP="00235B4C">
            <w:pPr>
              <w:suppressAutoHyphens/>
              <w:rPr>
                <w:rFonts w:cs="Tahoma"/>
                <w:sz w:val="18"/>
                <w:szCs w:val="18"/>
              </w:rPr>
            </w:pPr>
            <w:r w:rsidRPr="00427FBC">
              <w:rPr>
                <w:rFonts w:cs="Tahoma"/>
                <w:sz w:val="18"/>
                <w:szCs w:val="18"/>
              </w:rPr>
              <w:t>Śmierć Ubezpieczonego w następstwie zawału serca lub udaru mózgu</w:t>
            </w:r>
          </w:p>
        </w:tc>
        <w:tc>
          <w:tcPr>
            <w:tcW w:w="1039" w:type="dxa"/>
            <w:tcBorders>
              <w:top w:val="single" w:sz="4" w:space="0" w:color="000000"/>
              <w:left w:val="single" w:sz="4" w:space="0" w:color="000000"/>
              <w:bottom w:val="single" w:sz="4" w:space="0" w:color="000000"/>
              <w:right w:val="single" w:sz="4" w:space="0" w:color="000000"/>
            </w:tcBorders>
            <w:vAlign w:val="center"/>
          </w:tcPr>
          <w:p w:rsidR="00701D81" w:rsidRPr="00427FBC" w:rsidRDefault="00701D81" w:rsidP="00235B4C">
            <w:pPr>
              <w:suppressAutoHyphens/>
              <w:jc w:val="center"/>
              <w:rPr>
                <w:rFonts w:cs="Tahoma"/>
                <w:b/>
                <w:bCs/>
                <w:sz w:val="18"/>
                <w:szCs w:val="18"/>
              </w:rPr>
            </w:pPr>
            <w:r>
              <w:rPr>
                <w:rFonts w:cs="Tahoma"/>
                <w:b/>
                <w:bCs/>
                <w:sz w:val="18"/>
                <w:szCs w:val="18"/>
              </w:rPr>
              <w:t>65 000</w:t>
            </w:r>
          </w:p>
        </w:tc>
        <w:tc>
          <w:tcPr>
            <w:tcW w:w="1039" w:type="dxa"/>
            <w:tcBorders>
              <w:top w:val="single" w:sz="4" w:space="0" w:color="000000"/>
              <w:left w:val="single" w:sz="4" w:space="0" w:color="000000"/>
              <w:bottom w:val="single" w:sz="4" w:space="0" w:color="000000"/>
              <w:right w:val="nil"/>
            </w:tcBorders>
            <w:vAlign w:val="center"/>
          </w:tcPr>
          <w:p w:rsidR="00701D81" w:rsidRPr="00E423F6" w:rsidRDefault="00995C85" w:rsidP="00235B4C">
            <w:pPr>
              <w:suppressAutoHyphens/>
              <w:jc w:val="center"/>
              <w:rPr>
                <w:rFonts w:cs="Tahoma"/>
                <w:b/>
                <w:bCs/>
                <w:sz w:val="18"/>
                <w:szCs w:val="18"/>
              </w:rPr>
            </w:pPr>
            <w:r w:rsidRPr="00E423F6">
              <w:rPr>
                <w:rFonts w:cs="Tahoma"/>
                <w:b/>
                <w:bCs/>
                <w:sz w:val="18"/>
                <w:szCs w:val="18"/>
              </w:rPr>
              <w:t>71 000</w:t>
            </w:r>
          </w:p>
        </w:tc>
        <w:tc>
          <w:tcPr>
            <w:tcW w:w="1040" w:type="dxa"/>
            <w:tcBorders>
              <w:top w:val="single" w:sz="4" w:space="0" w:color="000000"/>
              <w:left w:val="single" w:sz="4" w:space="0" w:color="000000"/>
              <w:bottom w:val="single" w:sz="4" w:space="0" w:color="000000"/>
              <w:right w:val="single" w:sz="4" w:space="0" w:color="000000"/>
            </w:tcBorders>
            <w:vAlign w:val="center"/>
          </w:tcPr>
          <w:p w:rsidR="00701D81" w:rsidRDefault="004B424B" w:rsidP="00235B4C">
            <w:pPr>
              <w:suppressAutoHyphens/>
              <w:snapToGrid w:val="0"/>
              <w:jc w:val="center"/>
              <w:rPr>
                <w:rFonts w:ascii="Calibri" w:hAnsi="Calibri" w:cs="Calibri"/>
                <w:sz w:val="24"/>
                <w:szCs w:val="24"/>
                <w:lang w:eastAsia="zh-CN"/>
              </w:rPr>
            </w:pPr>
            <w:r>
              <w:rPr>
                <w:b/>
                <w:sz w:val="18"/>
                <w:szCs w:val="18"/>
                <w:lang w:eastAsia="zh-CN"/>
              </w:rPr>
              <w:t>95 000</w:t>
            </w:r>
          </w:p>
        </w:tc>
        <w:tc>
          <w:tcPr>
            <w:tcW w:w="992" w:type="dxa"/>
            <w:tcBorders>
              <w:top w:val="single" w:sz="4" w:space="0" w:color="000000"/>
              <w:left w:val="single" w:sz="4" w:space="0" w:color="000000"/>
              <w:bottom w:val="single" w:sz="4" w:space="0" w:color="000000"/>
              <w:right w:val="single" w:sz="4" w:space="0" w:color="000000"/>
            </w:tcBorders>
            <w:vAlign w:val="center"/>
          </w:tcPr>
          <w:p w:rsidR="00701D81" w:rsidRDefault="005D1495" w:rsidP="00235B4C">
            <w:pPr>
              <w:suppressAutoHyphens/>
              <w:snapToGrid w:val="0"/>
              <w:jc w:val="center"/>
              <w:rPr>
                <w:rFonts w:ascii="Calibri" w:hAnsi="Calibri" w:cs="Calibri"/>
                <w:sz w:val="24"/>
                <w:szCs w:val="24"/>
                <w:lang w:eastAsia="zh-CN"/>
              </w:rPr>
            </w:pPr>
            <w:r>
              <w:rPr>
                <w:rFonts w:ascii="Calibri" w:hAnsi="Calibri" w:cs="Calibri"/>
                <w:sz w:val="24"/>
                <w:szCs w:val="24"/>
                <w:lang w:eastAsia="zh-CN"/>
              </w:rPr>
              <w:t>2</w:t>
            </w:r>
          </w:p>
        </w:tc>
      </w:tr>
      <w:tr w:rsidR="00701D81" w:rsidTr="003A12D4">
        <w:trPr>
          <w:cantSplit/>
          <w:trHeight w:val="1020"/>
          <w:jc w:val="center"/>
        </w:trPr>
        <w:tc>
          <w:tcPr>
            <w:tcW w:w="440" w:type="dxa"/>
            <w:tcBorders>
              <w:top w:val="nil"/>
              <w:left w:val="single" w:sz="4" w:space="0" w:color="000000"/>
              <w:bottom w:val="single" w:sz="4" w:space="0" w:color="000000"/>
              <w:right w:val="nil"/>
            </w:tcBorders>
            <w:vAlign w:val="center"/>
          </w:tcPr>
          <w:p w:rsidR="00701D81" w:rsidRPr="00427FBC" w:rsidRDefault="00701D81" w:rsidP="003A12D4">
            <w:pPr>
              <w:suppressAutoHyphens/>
              <w:jc w:val="center"/>
              <w:rPr>
                <w:sz w:val="18"/>
                <w:szCs w:val="18"/>
                <w:lang w:eastAsia="zh-CN"/>
              </w:rPr>
            </w:pPr>
            <w:r w:rsidRPr="00427FBC">
              <w:rPr>
                <w:rFonts w:cs="Tahoma"/>
                <w:sz w:val="18"/>
                <w:szCs w:val="18"/>
              </w:rPr>
              <w:t>7</w:t>
            </w:r>
          </w:p>
        </w:tc>
        <w:tc>
          <w:tcPr>
            <w:tcW w:w="3990" w:type="dxa"/>
            <w:tcBorders>
              <w:top w:val="nil"/>
              <w:left w:val="single" w:sz="4" w:space="0" w:color="000000"/>
              <w:bottom w:val="single" w:sz="4" w:space="0" w:color="000000"/>
              <w:right w:val="nil"/>
            </w:tcBorders>
            <w:hideMark/>
          </w:tcPr>
          <w:p w:rsidR="00701D81" w:rsidRPr="00427FBC" w:rsidRDefault="00701D81" w:rsidP="00235B4C">
            <w:pPr>
              <w:suppressAutoHyphens/>
              <w:rPr>
                <w:sz w:val="18"/>
                <w:szCs w:val="18"/>
                <w:lang w:eastAsia="zh-CN"/>
              </w:rPr>
            </w:pPr>
            <w:r w:rsidRPr="00427FBC">
              <w:rPr>
                <w:sz w:val="18"/>
                <w:szCs w:val="18"/>
                <w:lang w:eastAsia="zh-CN"/>
              </w:rPr>
              <w:t>Trwały uszczerbek na zdrowiu spowodowany nieszczęśliwym wypadkiem (świadczenie za 1% uszczerbku)</w:t>
            </w:r>
          </w:p>
        </w:tc>
        <w:tc>
          <w:tcPr>
            <w:tcW w:w="1039" w:type="dxa"/>
            <w:tcBorders>
              <w:top w:val="single" w:sz="4" w:space="0" w:color="000000"/>
              <w:left w:val="single" w:sz="4" w:space="0" w:color="000000"/>
              <w:bottom w:val="single" w:sz="4" w:space="0" w:color="000000"/>
              <w:right w:val="single" w:sz="4" w:space="0" w:color="000000"/>
            </w:tcBorders>
            <w:vAlign w:val="center"/>
          </w:tcPr>
          <w:p w:rsidR="00701D81" w:rsidRPr="00EE738D" w:rsidRDefault="00701D81" w:rsidP="00235B4C">
            <w:pPr>
              <w:suppressAutoHyphens/>
              <w:jc w:val="center"/>
              <w:rPr>
                <w:b/>
                <w:sz w:val="18"/>
                <w:szCs w:val="18"/>
                <w:lang w:eastAsia="zh-CN"/>
              </w:rPr>
            </w:pPr>
            <w:r w:rsidRPr="00EE738D">
              <w:rPr>
                <w:b/>
                <w:sz w:val="18"/>
                <w:szCs w:val="18"/>
                <w:lang w:eastAsia="zh-CN"/>
              </w:rPr>
              <w:t>520</w:t>
            </w:r>
          </w:p>
        </w:tc>
        <w:tc>
          <w:tcPr>
            <w:tcW w:w="1039" w:type="dxa"/>
            <w:tcBorders>
              <w:top w:val="single" w:sz="4" w:space="0" w:color="000000"/>
              <w:left w:val="single" w:sz="4" w:space="0" w:color="000000"/>
              <w:bottom w:val="single" w:sz="4" w:space="0" w:color="000000"/>
              <w:right w:val="nil"/>
            </w:tcBorders>
            <w:vAlign w:val="center"/>
          </w:tcPr>
          <w:p w:rsidR="00701D81" w:rsidRPr="009F5051" w:rsidRDefault="00995C85" w:rsidP="00235B4C">
            <w:pPr>
              <w:suppressAutoHyphens/>
              <w:jc w:val="center"/>
              <w:rPr>
                <w:b/>
                <w:sz w:val="18"/>
                <w:szCs w:val="18"/>
                <w:lang w:eastAsia="zh-CN"/>
              </w:rPr>
            </w:pPr>
            <w:r w:rsidRPr="009F5051">
              <w:rPr>
                <w:b/>
                <w:sz w:val="18"/>
                <w:szCs w:val="18"/>
                <w:lang w:eastAsia="zh-CN"/>
              </w:rPr>
              <w:t>725</w:t>
            </w:r>
          </w:p>
        </w:tc>
        <w:tc>
          <w:tcPr>
            <w:tcW w:w="1040" w:type="dxa"/>
            <w:tcBorders>
              <w:top w:val="single" w:sz="4" w:space="0" w:color="000000"/>
              <w:left w:val="single" w:sz="4" w:space="0" w:color="000000"/>
              <w:bottom w:val="single" w:sz="4" w:space="0" w:color="000000"/>
              <w:right w:val="single" w:sz="4" w:space="0" w:color="000000"/>
            </w:tcBorders>
            <w:vAlign w:val="center"/>
          </w:tcPr>
          <w:p w:rsidR="00701D81" w:rsidRDefault="004B424B" w:rsidP="00235B4C">
            <w:pPr>
              <w:suppressAutoHyphens/>
              <w:snapToGrid w:val="0"/>
              <w:jc w:val="center"/>
              <w:rPr>
                <w:rFonts w:ascii="Calibri" w:hAnsi="Calibri" w:cs="Calibri"/>
                <w:sz w:val="24"/>
                <w:szCs w:val="24"/>
                <w:lang w:eastAsia="zh-CN"/>
              </w:rPr>
            </w:pPr>
            <w:r>
              <w:rPr>
                <w:b/>
                <w:sz w:val="18"/>
                <w:szCs w:val="18"/>
                <w:lang w:eastAsia="zh-CN"/>
              </w:rPr>
              <w:t>880</w:t>
            </w:r>
          </w:p>
        </w:tc>
        <w:tc>
          <w:tcPr>
            <w:tcW w:w="992" w:type="dxa"/>
            <w:tcBorders>
              <w:top w:val="single" w:sz="4" w:space="0" w:color="000000"/>
              <w:left w:val="single" w:sz="4" w:space="0" w:color="000000"/>
              <w:bottom w:val="single" w:sz="4" w:space="0" w:color="000000"/>
              <w:right w:val="single" w:sz="4" w:space="0" w:color="000000"/>
            </w:tcBorders>
            <w:vAlign w:val="center"/>
          </w:tcPr>
          <w:p w:rsidR="00701D81" w:rsidRDefault="00235B4C" w:rsidP="00235B4C">
            <w:pPr>
              <w:suppressAutoHyphens/>
              <w:snapToGrid w:val="0"/>
              <w:jc w:val="center"/>
              <w:rPr>
                <w:rFonts w:ascii="Calibri" w:hAnsi="Calibri" w:cs="Calibri"/>
                <w:sz w:val="24"/>
                <w:szCs w:val="24"/>
                <w:lang w:eastAsia="zh-CN"/>
              </w:rPr>
            </w:pPr>
            <w:r>
              <w:rPr>
                <w:rFonts w:ascii="Calibri" w:hAnsi="Calibri" w:cs="Calibri"/>
                <w:sz w:val="24"/>
                <w:szCs w:val="24"/>
                <w:lang w:eastAsia="zh-CN"/>
              </w:rPr>
              <w:t>8</w:t>
            </w:r>
          </w:p>
        </w:tc>
      </w:tr>
      <w:tr w:rsidR="00701D81" w:rsidTr="003A12D4">
        <w:trPr>
          <w:cantSplit/>
          <w:trHeight w:val="1020"/>
          <w:jc w:val="center"/>
        </w:trPr>
        <w:tc>
          <w:tcPr>
            <w:tcW w:w="440" w:type="dxa"/>
            <w:tcBorders>
              <w:top w:val="nil"/>
              <w:left w:val="single" w:sz="4" w:space="0" w:color="000000"/>
              <w:bottom w:val="single" w:sz="4" w:space="0" w:color="000000"/>
              <w:right w:val="nil"/>
            </w:tcBorders>
            <w:vAlign w:val="center"/>
          </w:tcPr>
          <w:p w:rsidR="00701D81" w:rsidRPr="00427FBC" w:rsidRDefault="00701D81" w:rsidP="003A12D4">
            <w:pPr>
              <w:suppressAutoHyphens/>
              <w:jc w:val="center"/>
              <w:rPr>
                <w:rFonts w:cs="Tahoma"/>
                <w:sz w:val="18"/>
                <w:szCs w:val="18"/>
              </w:rPr>
            </w:pPr>
            <w:r w:rsidRPr="00427FBC">
              <w:rPr>
                <w:rFonts w:cs="Tahoma"/>
                <w:bCs/>
                <w:sz w:val="18"/>
                <w:szCs w:val="18"/>
              </w:rPr>
              <w:t>9</w:t>
            </w:r>
          </w:p>
        </w:tc>
        <w:tc>
          <w:tcPr>
            <w:tcW w:w="3990" w:type="dxa"/>
            <w:tcBorders>
              <w:top w:val="nil"/>
              <w:left w:val="single" w:sz="4" w:space="0" w:color="000000"/>
              <w:bottom w:val="single" w:sz="4" w:space="0" w:color="000000"/>
              <w:right w:val="nil"/>
            </w:tcBorders>
            <w:hideMark/>
          </w:tcPr>
          <w:p w:rsidR="00701D81" w:rsidRPr="00427FBC" w:rsidRDefault="00701D81" w:rsidP="00235B4C">
            <w:pPr>
              <w:suppressAutoHyphens/>
              <w:rPr>
                <w:sz w:val="18"/>
                <w:szCs w:val="18"/>
                <w:lang w:eastAsia="zh-CN"/>
              </w:rPr>
            </w:pPr>
            <w:r w:rsidRPr="00427FBC">
              <w:rPr>
                <w:sz w:val="18"/>
                <w:szCs w:val="18"/>
                <w:lang w:eastAsia="zh-CN"/>
              </w:rPr>
              <w:t>Trwały uszczerbek na zdrowiu spowodowany udarem mózgu lub zawałem serca (świadczenie za 1% uszczerbku)</w:t>
            </w:r>
          </w:p>
        </w:tc>
        <w:tc>
          <w:tcPr>
            <w:tcW w:w="1039" w:type="dxa"/>
            <w:tcBorders>
              <w:top w:val="single" w:sz="4" w:space="0" w:color="000000"/>
              <w:left w:val="single" w:sz="4" w:space="0" w:color="000000"/>
              <w:bottom w:val="single" w:sz="4" w:space="0" w:color="000000"/>
              <w:right w:val="single" w:sz="4" w:space="0" w:color="000000"/>
            </w:tcBorders>
            <w:vAlign w:val="center"/>
          </w:tcPr>
          <w:p w:rsidR="00701D81" w:rsidRPr="00841EF8" w:rsidRDefault="00701D81" w:rsidP="00235B4C">
            <w:pPr>
              <w:suppressAutoHyphens/>
              <w:jc w:val="center"/>
              <w:rPr>
                <w:b/>
                <w:sz w:val="18"/>
                <w:szCs w:val="18"/>
                <w:lang w:eastAsia="zh-CN"/>
              </w:rPr>
            </w:pPr>
            <w:r w:rsidRPr="00841EF8">
              <w:rPr>
                <w:b/>
                <w:sz w:val="18"/>
                <w:szCs w:val="18"/>
                <w:lang w:eastAsia="zh-CN"/>
              </w:rPr>
              <w:t>520</w:t>
            </w:r>
          </w:p>
        </w:tc>
        <w:tc>
          <w:tcPr>
            <w:tcW w:w="1039" w:type="dxa"/>
            <w:tcBorders>
              <w:top w:val="single" w:sz="4" w:space="0" w:color="000000"/>
              <w:left w:val="single" w:sz="4" w:space="0" w:color="000000"/>
              <w:bottom w:val="single" w:sz="4" w:space="0" w:color="000000"/>
              <w:right w:val="nil"/>
            </w:tcBorders>
            <w:vAlign w:val="center"/>
          </w:tcPr>
          <w:p w:rsidR="00701D81" w:rsidRPr="009F5051" w:rsidRDefault="00995C85" w:rsidP="00421792">
            <w:pPr>
              <w:suppressAutoHyphens/>
              <w:jc w:val="center"/>
              <w:rPr>
                <w:b/>
                <w:sz w:val="18"/>
                <w:szCs w:val="18"/>
                <w:lang w:eastAsia="zh-CN"/>
              </w:rPr>
            </w:pPr>
            <w:r w:rsidRPr="009F5051">
              <w:rPr>
                <w:b/>
                <w:sz w:val="18"/>
                <w:szCs w:val="18"/>
                <w:lang w:eastAsia="zh-CN"/>
              </w:rPr>
              <w:t>7</w:t>
            </w:r>
            <w:r w:rsidR="00421792" w:rsidRPr="009F5051">
              <w:rPr>
                <w:b/>
                <w:sz w:val="18"/>
                <w:szCs w:val="18"/>
                <w:lang w:eastAsia="zh-CN"/>
              </w:rPr>
              <w:t>45</w:t>
            </w:r>
          </w:p>
        </w:tc>
        <w:tc>
          <w:tcPr>
            <w:tcW w:w="1040" w:type="dxa"/>
            <w:tcBorders>
              <w:top w:val="single" w:sz="4" w:space="0" w:color="000000"/>
              <w:left w:val="single" w:sz="4" w:space="0" w:color="000000"/>
              <w:bottom w:val="single" w:sz="4" w:space="0" w:color="000000"/>
              <w:right w:val="single" w:sz="4" w:space="0" w:color="000000"/>
            </w:tcBorders>
            <w:vAlign w:val="center"/>
          </w:tcPr>
          <w:p w:rsidR="00701D81" w:rsidRDefault="004B424B" w:rsidP="00235B4C">
            <w:pPr>
              <w:suppressAutoHyphens/>
              <w:snapToGrid w:val="0"/>
              <w:jc w:val="center"/>
              <w:rPr>
                <w:rFonts w:ascii="Calibri" w:hAnsi="Calibri" w:cs="Calibri"/>
                <w:sz w:val="24"/>
                <w:szCs w:val="24"/>
                <w:lang w:eastAsia="zh-CN"/>
              </w:rPr>
            </w:pPr>
            <w:r>
              <w:rPr>
                <w:b/>
                <w:sz w:val="18"/>
                <w:szCs w:val="18"/>
                <w:lang w:eastAsia="zh-CN"/>
              </w:rPr>
              <w:t>880</w:t>
            </w:r>
          </w:p>
        </w:tc>
        <w:tc>
          <w:tcPr>
            <w:tcW w:w="992" w:type="dxa"/>
            <w:tcBorders>
              <w:top w:val="single" w:sz="4" w:space="0" w:color="000000"/>
              <w:left w:val="single" w:sz="4" w:space="0" w:color="000000"/>
              <w:bottom w:val="single" w:sz="4" w:space="0" w:color="000000"/>
              <w:right w:val="single" w:sz="4" w:space="0" w:color="000000"/>
            </w:tcBorders>
            <w:vAlign w:val="center"/>
          </w:tcPr>
          <w:p w:rsidR="00701D81" w:rsidRDefault="005D1495" w:rsidP="00235B4C">
            <w:pPr>
              <w:suppressAutoHyphens/>
              <w:snapToGrid w:val="0"/>
              <w:jc w:val="center"/>
              <w:rPr>
                <w:rFonts w:ascii="Calibri" w:hAnsi="Calibri" w:cs="Calibri"/>
                <w:sz w:val="24"/>
                <w:szCs w:val="24"/>
                <w:lang w:eastAsia="zh-CN"/>
              </w:rPr>
            </w:pPr>
            <w:r>
              <w:rPr>
                <w:rFonts w:ascii="Calibri" w:hAnsi="Calibri" w:cs="Calibri"/>
                <w:sz w:val="24"/>
                <w:szCs w:val="24"/>
                <w:lang w:eastAsia="zh-CN"/>
              </w:rPr>
              <w:t>8</w:t>
            </w:r>
          </w:p>
        </w:tc>
      </w:tr>
      <w:tr w:rsidR="00701D81" w:rsidTr="003A12D4">
        <w:trPr>
          <w:cantSplit/>
          <w:trHeight w:val="510"/>
          <w:jc w:val="center"/>
        </w:trPr>
        <w:tc>
          <w:tcPr>
            <w:tcW w:w="440" w:type="dxa"/>
            <w:tcBorders>
              <w:top w:val="nil"/>
              <w:left w:val="single" w:sz="4" w:space="0" w:color="000000"/>
              <w:bottom w:val="single" w:sz="4" w:space="0" w:color="000000"/>
              <w:right w:val="nil"/>
            </w:tcBorders>
            <w:vAlign w:val="center"/>
          </w:tcPr>
          <w:p w:rsidR="00701D81" w:rsidRPr="00427FBC" w:rsidRDefault="00701D81" w:rsidP="003A12D4">
            <w:pPr>
              <w:suppressAutoHyphens/>
              <w:jc w:val="center"/>
              <w:rPr>
                <w:sz w:val="18"/>
                <w:szCs w:val="18"/>
                <w:lang w:eastAsia="zh-CN"/>
              </w:rPr>
            </w:pPr>
            <w:r w:rsidRPr="00427FBC">
              <w:rPr>
                <w:rFonts w:cs="Tahoma"/>
                <w:sz w:val="18"/>
                <w:szCs w:val="18"/>
              </w:rPr>
              <w:t>10</w:t>
            </w:r>
          </w:p>
        </w:tc>
        <w:tc>
          <w:tcPr>
            <w:tcW w:w="3990" w:type="dxa"/>
            <w:tcBorders>
              <w:top w:val="nil"/>
              <w:left w:val="single" w:sz="4" w:space="0" w:color="000000"/>
              <w:bottom w:val="single" w:sz="4" w:space="0" w:color="000000"/>
              <w:right w:val="nil"/>
            </w:tcBorders>
            <w:hideMark/>
          </w:tcPr>
          <w:p w:rsidR="00701D81" w:rsidRPr="00427FBC" w:rsidRDefault="00701D81" w:rsidP="00235B4C">
            <w:pPr>
              <w:suppressAutoHyphens/>
              <w:rPr>
                <w:sz w:val="18"/>
                <w:szCs w:val="18"/>
                <w:lang w:eastAsia="zh-CN"/>
              </w:rPr>
            </w:pPr>
            <w:r w:rsidRPr="00427FBC">
              <w:rPr>
                <w:rFonts w:cs="Tahoma"/>
                <w:sz w:val="18"/>
                <w:szCs w:val="18"/>
              </w:rPr>
              <w:t xml:space="preserve">Niezdolność do pracy i samodzielnej egzystencji </w:t>
            </w:r>
            <w:r w:rsidR="00995C85">
              <w:rPr>
                <w:rFonts w:cs="Tahoma"/>
                <w:sz w:val="18"/>
                <w:szCs w:val="18"/>
              </w:rPr>
              <w:t xml:space="preserve">w wyniku następstwa nieszczęśliwego wypadku </w:t>
            </w:r>
            <w:r>
              <w:rPr>
                <w:rFonts w:cs="Tahoma"/>
                <w:sz w:val="18"/>
                <w:szCs w:val="18"/>
              </w:rPr>
              <w:t>- kwota jednorazowa</w:t>
            </w:r>
          </w:p>
        </w:tc>
        <w:tc>
          <w:tcPr>
            <w:tcW w:w="1039" w:type="dxa"/>
            <w:tcBorders>
              <w:top w:val="single" w:sz="4" w:space="0" w:color="000000"/>
              <w:left w:val="single" w:sz="4" w:space="0" w:color="000000"/>
              <w:bottom w:val="single" w:sz="4" w:space="0" w:color="000000"/>
              <w:right w:val="single" w:sz="4" w:space="0" w:color="000000"/>
            </w:tcBorders>
            <w:vAlign w:val="center"/>
          </w:tcPr>
          <w:p w:rsidR="00701D81" w:rsidRPr="00841EF8" w:rsidRDefault="00701D81" w:rsidP="00235B4C">
            <w:pPr>
              <w:suppressAutoHyphens/>
              <w:jc w:val="center"/>
              <w:rPr>
                <w:b/>
                <w:sz w:val="18"/>
                <w:szCs w:val="18"/>
                <w:lang w:eastAsia="zh-CN"/>
              </w:rPr>
            </w:pPr>
            <w:r w:rsidRPr="00841EF8">
              <w:rPr>
                <w:b/>
                <w:sz w:val="18"/>
                <w:szCs w:val="18"/>
                <w:lang w:eastAsia="zh-CN"/>
              </w:rPr>
              <w:t>7 000</w:t>
            </w:r>
          </w:p>
        </w:tc>
        <w:tc>
          <w:tcPr>
            <w:tcW w:w="1039" w:type="dxa"/>
            <w:tcBorders>
              <w:top w:val="single" w:sz="4" w:space="0" w:color="000000"/>
              <w:left w:val="single" w:sz="4" w:space="0" w:color="000000"/>
              <w:bottom w:val="single" w:sz="4" w:space="0" w:color="000000"/>
              <w:right w:val="nil"/>
            </w:tcBorders>
            <w:vAlign w:val="center"/>
          </w:tcPr>
          <w:p w:rsidR="00701D81" w:rsidRPr="00E423F6" w:rsidRDefault="00995C85" w:rsidP="00235B4C">
            <w:pPr>
              <w:suppressAutoHyphens/>
              <w:jc w:val="center"/>
              <w:rPr>
                <w:b/>
                <w:sz w:val="18"/>
                <w:szCs w:val="18"/>
                <w:lang w:eastAsia="zh-CN"/>
              </w:rPr>
            </w:pPr>
            <w:r w:rsidRPr="00E423F6">
              <w:rPr>
                <w:b/>
                <w:sz w:val="18"/>
                <w:szCs w:val="18"/>
                <w:lang w:eastAsia="zh-CN"/>
              </w:rPr>
              <w:t>7 000</w:t>
            </w:r>
          </w:p>
        </w:tc>
        <w:tc>
          <w:tcPr>
            <w:tcW w:w="1040" w:type="dxa"/>
            <w:tcBorders>
              <w:top w:val="single" w:sz="4" w:space="0" w:color="000000"/>
              <w:left w:val="single" w:sz="4" w:space="0" w:color="000000"/>
              <w:bottom w:val="single" w:sz="4" w:space="0" w:color="000000"/>
              <w:right w:val="single" w:sz="4" w:space="0" w:color="000000"/>
            </w:tcBorders>
            <w:vAlign w:val="center"/>
          </w:tcPr>
          <w:p w:rsidR="00701D81" w:rsidRDefault="004B424B" w:rsidP="00235B4C">
            <w:pPr>
              <w:suppressAutoHyphens/>
              <w:snapToGrid w:val="0"/>
              <w:jc w:val="center"/>
              <w:rPr>
                <w:rFonts w:ascii="Calibri" w:hAnsi="Calibri" w:cs="Calibri"/>
                <w:sz w:val="24"/>
                <w:szCs w:val="24"/>
                <w:lang w:eastAsia="zh-CN"/>
              </w:rPr>
            </w:pPr>
            <w:r>
              <w:rPr>
                <w:b/>
                <w:sz w:val="18"/>
                <w:szCs w:val="18"/>
                <w:lang w:eastAsia="zh-CN"/>
              </w:rPr>
              <w:t>10</w:t>
            </w:r>
            <w:r w:rsidRPr="00E423F6">
              <w:rPr>
                <w:b/>
                <w:sz w:val="18"/>
                <w:szCs w:val="18"/>
                <w:lang w:eastAsia="zh-CN"/>
              </w:rPr>
              <w:t xml:space="preserve"> 000</w:t>
            </w:r>
          </w:p>
        </w:tc>
        <w:tc>
          <w:tcPr>
            <w:tcW w:w="992" w:type="dxa"/>
            <w:tcBorders>
              <w:top w:val="single" w:sz="4" w:space="0" w:color="000000"/>
              <w:left w:val="single" w:sz="4" w:space="0" w:color="000000"/>
              <w:bottom w:val="single" w:sz="4" w:space="0" w:color="000000"/>
              <w:right w:val="single" w:sz="4" w:space="0" w:color="000000"/>
            </w:tcBorders>
            <w:vAlign w:val="center"/>
          </w:tcPr>
          <w:p w:rsidR="00701D81" w:rsidRDefault="00BD31C2" w:rsidP="00235B4C">
            <w:pPr>
              <w:suppressAutoHyphens/>
              <w:snapToGrid w:val="0"/>
              <w:jc w:val="center"/>
              <w:rPr>
                <w:rFonts w:ascii="Calibri" w:hAnsi="Calibri" w:cs="Calibri"/>
                <w:sz w:val="24"/>
                <w:szCs w:val="24"/>
                <w:lang w:eastAsia="zh-CN"/>
              </w:rPr>
            </w:pPr>
            <w:r>
              <w:rPr>
                <w:rFonts w:ascii="Calibri" w:hAnsi="Calibri" w:cs="Calibri"/>
                <w:sz w:val="24"/>
                <w:szCs w:val="24"/>
                <w:lang w:eastAsia="zh-CN"/>
              </w:rPr>
              <w:t>6</w:t>
            </w:r>
          </w:p>
        </w:tc>
      </w:tr>
      <w:tr w:rsidR="00995C85" w:rsidTr="003A12D4">
        <w:trPr>
          <w:cantSplit/>
          <w:trHeight w:val="510"/>
          <w:jc w:val="center"/>
        </w:trPr>
        <w:tc>
          <w:tcPr>
            <w:tcW w:w="440" w:type="dxa"/>
            <w:tcBorders>
              <w:top w:val="nil"/>
              <w:left w:val="single" w:sz="4" w:space="0" w:color="000000"/>
              <w:bottom w:val="single" w:sz="4" w:space="0" w:color="000000"/>
              <w:right w:val="nil"/>
            </w:tcBorders>
            <w:vAlign w:val="center"/>
          </w:tcPr>
          <w:p w:rsidR="00995C85" w:rsidRPr="00427FBC" w:rsidRDefault="00E423F6" w:rsidP="003A12D4">
            <w:pPr>
              <w:suppressAutoHyphens/>
              <w:jc w:val="center"/>
              <w:rPr>
                <w:rFonts w:cs="Tahoma"/>
                <w:sz w:val="18"/>
                <w:szCs w:val="18"/>
              </w:rPr>
            </w:pPr>
            <w:r>
              <w:rPr>
                <w:rFonts w:cs="Tahoma"/>
                <w:sz w:val="18"/>
                <w:szCs w:val="18"/>
              </w:rPr>
              <w:t>11</w:t>
            </w:r>
          </w:p>
        </w:tc>
        <w:tc>
          <w:tcPr>
            <w:tcW w:w="3990" w:type="dxa"/>
            <w:tcBorders>
              <w:top w:val="nil"/>
              <w:left w:val="single" w:sz="4" w:space="0" w:color="000000"/>
              <w:bottom w:val="single" w:sz="4" w:space="0" w:color="000000"/>
              <w:right w:val="nil"/>
            </w:tcBorders>
          </w:tcPr>
          <w:p w:rsidR="00995C85" w:rsidRPr="00427FBC" w:rsidRDefault="00995C85" w:rsidP="00235B4C">
            <w:pPr>
              <w:suppressAutoHyphens/>
              <w:rPr>
                <w:rFonts w:cs="Tahoma"/>
                <w:sz w:val="18"/>
                <w:szCs w:val="18"/>
              </w:rPr>
            </w:pPr>
            <w:r w:rsidRPr="00427FBC">
              <w:rPr>
                <w:rFonts w:cs="Tahoma"/>
                <w:sz w:val="18"/>
                <w:szCs w:val="18"/>
              </w:rPr>
              <w:t xml:space="preserve">Niezdolność do pracy i samodzielnej egzystencji </w:t>
            </w:r>
            <w:r>
              <w:rPr>
                <w:rFonts w:cs="Tahoma"/>
                <w:sz w:val="18"/>
                <w:szCs w:val="18"/>
              </w:rPr>
              <w:t xml:space="preserve"> w następstwie choroby – kwota jednorazowa</w:t>
            </w:r>
          </w:p>
        </w:tc>
        <w:tc>
          <w:tcPr>
            <w:tcW w:w="1039" w:type="dxa"/>
            <w:tcBorders>
              <w:top w:val="single" w:sz="4" w:space="0" w:color="000000"/>
              <w:left w:val="single" w:sz="4" w:space="0" w:color="000000"/>
              <w:bottom w:val="single" w:sz="4" w:space="0" w:color="000000"/>
              <w:right w:val="single" w:sz="4" w:space="0" w:color="000000"/>
            </w:tcBorders>
            <w:vAlign w:val="center"/>
          </w:tcPr>
          <w:p w:rsidR="00995C85" w:rsidRPr="00841EF8" w:rsidRDefault="00E423F6" w:rsidP="00235B4C">
            <w:pPr>
              <w:suppressAutoHyphens/>
              <w:jc w:val="center"/>
              <w:rPr>
                <w:b/>
                <w:sz w:val="18"/>
                <w:szCs w:val="18"/>
                <w:lang w:eastAsia="zh-CN"/>
              </w:rPr>
            </w:pPr>
            <w:r>
              <w:rPr>
                <w:b/>
                <w:sz w:val="18"/>
                <w:szCs w:val="18"/>
                <w:lang w:eastAsia="zh-CN"/>
              </w:rPr>
              <w:t>7 000</w:t>
            </w:r>
          </w:p>
        </w:tc>
        <w:tc>
          <w:tcPr>
            <w:tcW w:w="1039" w:type="dxa"/>
            <w:tcBorders>
              <w:top w:val="single" w:sz="4" w:space="0" w:color="000000"/>
              <w:left w:val="single" w:sz="4" w:space="0" w:color="000000"/>
              <w:bottom w:val="single" w:sz="4" w:space="0" w:color="000000"/>
              <w:right w:val="nil"/>
            </w:tcBorders>
            <w:vAlign w:val="center"/>
          </w:tcPr>
          <w:p w:rsidR="00995C85" w:rsidRPr="00E423F6" w:rsidRDefault="00995C85" w:rsidP="00235B4C">
            <w:pPr>
              <w:suppressAutoHyphens/>
              <w:jc w:val="center"/>
              <w:rPr>
                <w:b/>
                <w:sz w:val="18"/>
                <w:szCs w:val="18"/>
                <w:lang w:eastAsia="zh-CN"/>
              </w:rPr>
            </w:pPr>
            <w:r w:rsidRPr="00E423F6">
              <w:rPr>
                <w:b/>
                <w:sz w:val="18"/>
                <w:szCs w:val="18"/>
                <w:lang w:eastAsia="zh-CN"/>
              </w:rPr>
              <w:t>6 500</w:t>
            </w:r>
          </w:p>
        </w:tc>
        <w:tc>
          <w:tcPr>
            <w:tcW w:w="1040" w:type="dxa"/>
            <w:tcBorders>
              <w:top w:val="single" w:sz="4" w:space="0" w:color="000000"/>
              <w:left w:val="single" w:sz="4" w:space="0" w:color="000000"/>
              <w:bottom w:val="single" w:sz="4" w:space="0" w:color="000000"/>
              <w:right w:val="single" w:sz="4" w:space="0" w:color="000000"/>
            </w:tcBorders>
            <w:vAlign w:val="center"/>
          </w:tcPr>
          <w:p w:rsidR="00995C85" w:rsidRDefault="004B424B" w:rsidP="00235B4C">
            <w:pPr>
              <w:suppressAutoHyphens/>
              <w:snapToGrid w:val="0"/>
              <w:jc w:val="center"/>
              <w:rPr>
                <w:rFonts w:ascii="Calibri" w:hAnsi="Calibri" w:cs="Calibri"/>
                <w:sz w:val="24"/>
                <w:szCs w:val="24"/>
                <w:lang w:eastAsia="zh-CN"/>
              </w:rPr>
            </w:pPr>
            <w:r>
              <w:rPr>
                <w:b/>
                <w:sz w:val="18"/>
                <w:szCs w:val="18"/>
                <w:lang w:eastAsia="zh-CN"/>
              </w:rPr>
              <w:t>10</w:t>
            </w:r>
            <w:r w:rsidRPr="00E423F6">
              <w:rPr>
                <w:b/>
                <w:sz w:val="18"/>
                <w:szCs w:val="18"/>
                <w:lang w:eastAsia="zh-CN"/>
              </w:rPr>
              <w:t xml:space="preserve"> 000</w:t>
            </w:r>
          </w:p>
        </w:tc>
        <w:tc>
          <w:tcPr>
            <w:tcW w:w="992" w:type="dxa"/>
            <w:tcBorders>
              <w:top w:val="single" w:sz="4" w:space="0" w:color="000000"/>
              <w:left w:val="single" w:sz="4" w:space="0" w:color="000000"/>
              <w:bottom w:val="single" w:sz="4" w:space="0" w:color="000000"/>
              <w:right w:val="single" w:sz="4" w:space="0" w:color="000000"/>
            </w:tcBorders>
            <w:vAlign w:val="center"/>
          </w:tcPr>
          <w:p w:rsidR="00995C85" w:rsidRDefault="005D1495" w:rsidP="00235B4C">
            <w:pPr>
              <w:suppressAutoHyphens/>
              <w:snapToGrid w:val="0"/>
              <w:jc w:val="center"/>
              <w:rPr>
                <w:rFonts w:ascii="Calibri" w:hAnsi="Calibri" w:cs="Calibri"/>
                <w:sz w:val="24"/>
                <w:szCs w:val="24"/>
                <w:lang w:eastAsia="zh-CN"/>
              </w:rPr>
            </w:pPr>
            <w:r>
              <w:rPr>
                <w:rFonts w:ascii="Calibri" w:hAnsi="Calibri" w:cs="Calibri"/>
                <w:sz w:val="24"/>
                <w:szCs w:val="24"/>
                <w:lang w:eastAsia="zh-CN"/>
              </w:rPr>
              <w:t>4</w:t>
            </w:r>
          </w:p>
        </w:tc>
      </w:tr>
      <w:tr w:rsidR="00701D81" w:rsidTr="003A12D4">
        <w:trPr>
          <w:cantSplit/>
          <w:trHeight w:val="510"/>
          <w:jc w:val="center"/>
        </w:trPr>
        <w:tc>
          <w:tcPr>
            <w:tcW w:w="440" w:type="dxa"/>
            <w:tcBorders>
              <w:top w:val="nil"/>
              <w:left w:val="single" w:sz="4" w:space="0" w:color="000000"/>
              <w:bottom w:val="single" w:sz="4" w:space="0" w:color="000000"/>
              <w:right w:val="nil"/>
            </w:tcBorders>
            <w:vAlign w:val="center"/>
          </w:tcPr>
          <w:p w:rsidR="00701D81" w:rsidRPr="00427FBC" w:rsidRDefault="00E423F6" w:rsidP="003A12D4">
            <w:pPr>
              <w:suppressAutoHyphens/>
              <w:jc w:val="center"/>
              <w:rPr>
                <w:sz w:val="18"/>
                <w:szCs w:val="18"/>
                <w:lang w:eastAsia="zh-CN"/>
              </w:rPr>
            </w:pPr>
            <w:r>
              <w:rPr>
                <w:rFonts w:cs="Tahoma"/>
                <w:sz w:val="18"/>
                <w:szCs w:val="18"/>
              </w:rPr>
              <w:t>12</w:t>
            </w:r>
          </w:p>
        </w:tc>
        <w:tc>
          <w:tcPr>
            <w:tcW w:w="3990" w:type="dxa"/>
            <w:tcBorders>
              <w:top w:val="nil"/>
              <w:left w:val="single" w:sz="4" w:space="0" w:color="000000"/>
              <w:bottom w:val="single" w:sz="4" w:space="0" w:color="000000"/>
              <w:right w:val="nil"/>
            </w:tcBorders>
            <w:hideMark/>
          </w:tcPr>
          <w:p w:rsidR="00701D81" w:rsidRPr="00427FBC" w:rsidRDefault="00701D81" w:rsidP="00235B4C">
            <w:pPr>
              <w:suppressAutoHyphens/>
              <w:rPr>
                <w:sz w:val="18"/>
                <w:szCs w:val="18"/>
                <w:lang w:eastAsia="zh-CN"/>
              </w:rPr>
            </w:pPr>
            <w:r w:rsidRPr="00427FBC">
              <w:rPr>
                <w:rFonts w:cs="Tahoma"/>
                <w:sz w:val="18"/>
                <w:szCs w:val="18"/>
              </w:rPr>
              <w:t>Poważne zachorowanie Ubezpieczonego</w:t>
            </w:r>
          </w:p>
        </w:tc>
        <w:tc>
          <w:tcPr>
            <w:tcW w:w="1039" w:type="dxa"/>
            <w:tcBorders>
              <w:top w:val="single" w:sz="4" w:space="0" w:color="000000"/>
              <w:left w:val="single" w:sz="4" w:space="0" w:color="000000"/>
              <w:bottom w:val="single" w:sz="4" w:space="0" w:color="000000"/>
              <w:right w:val="single" w:sz="4" w:space="0" w:color="000000"/>
            </w:tcBorders>
            <w:vAlign w:val="center"/>
          </w:tcPr>
          <w:p w:rsidR="00701D81" w:rsidRPr="00841EF8" w:rsidRDefault="00701D81" w:rsidP="00235B4C">
            <w:pPr>
              <w:suppressAutoHyphens/>
              <w:jc w:val="center"/>
              <w:rPr>
                <w:b/>
                <w:sz w:val="18"/>
                <w:szCs w:val="18"/>
                <w:lang w:eastAsia="zh-CN"/>
              </w:rPr>
            </w:pPr>
            <w:r w:rsidRPr="00841EF8">
              <w:rPr>
                <w:b/>
                <w:sz w:val="18"/>
                <w:szCs w:val="18"/>
                <w:lang w:eastAsia="zh-CN"/>
              </w:rPr>
              <w:t>4 700</w:t>
            </w:r>
          </w:p>
        </w:tc>
        <w:tc>
          <w:tcPr>
            <w:tcW w:w="1039" w:type="dxa"/>
            <w:tcBorders>
              <w:top w:val="single" w:sz="4" w:space="0" w:color="000000"/>
              <w:left w:val="single" w:sz="4" w:space="0" w:color="000000"/>
              <w:bottom w:val="single" w:sz="4" w:space="0" w:color="000000"/>
              <w:right w:val="nil"/>
            </w:tcBorders>
            <w:vAlign w:val="center"/>
          </w:tcPr>
          <w:p w:rsidR="00701D81" w:rsidRPr="00E423F6" w:rsidRDefault="00995C85" w:rsidP="00235B4C">
            <w:pPr>
              <w:suppressAutoHyphens/>
              <w:jc w:val="center"/>
              <w:rPr>
                <w:b/>
                <w:sz w:val="18"/>
                <w:szCs w:val="18"/>
                <w:lang w:eastAsia="zh-CN"/>
              </w:rPr>
            </w:pPr>
            <w:r w:rsidRPr="00E423F6">
              <w:rPr>
                <w:b/>
                <w:sz w:val="18"/>
                <w:szCs w:val="18"/>
                <w:lang w:eastAsia="zh-CN"/>
              </w:rPr>
              <w:t>5 300</w:t>
            </w:r>
          </w:p>
        </w:tc>
        <w:tc>
          <w:tcPr>
            <w:tcW w:w="1040" w:type="dxa"/>
            <w:tcBorders>
              <w:top w:val="single" w:sz="4" w:space="0" w:color="000000"/>
              <w:left w:val="single" w:sz="4" w:space="0" w:color="000000"/>
              <w:bottom w:val="single" w:sz="4" w:space="0" w:color="000000"/>
              <w:right w:val="single" w:sz="4" w:space="0" w:color="000000"/>
            </w:tcBorders>
            <w:vAlign w:val="center"/>
          </w:tcPr>
          <w:p w:rsidR="00701D81" w:rsidRPr="00D25FEE" w:rsidRDefault="004B424B" w:rsidP="00235B4C">
            <w:pPr>
              <w:suppressAutoHyphens/>
              <w:snapToGrid w:val="0"/>
              <w:jc w:val="center"/>
              <w:rPr>
                <w:rFonts w:ascii="Calibri" w:hAnsi="Calibri" w:cs="Calibri"/>
                <w:b/>
                <w:sz w:val="18"/>
                <w:szCs w:val="18"/>
                <w:lang w:eastAsia="zh-CN"/>
              </w:rPr>
            </w:pPr>
            <w:r w:rsidRPr="00D25FEE">
              <w:rPr>
                <w:rFonts w:ascii="Calibri" w:hAnsi="Calibri" w:cs="Calibri"/>
                <w:b/>
                <w:sz w:val="18"/>
                <w:szCs w:val="18"/>
                <w:lang w:eastAsia="zh-CN"/>
              </w:rPr>
              <w:t>8 000</w:t>
            </w:r>
          </w:p>
        </w:tc>
        <w:tc>
          <w:tcPr>
            <w:tcW w:w="992" w:type="dxa"/>
            <w:tcBorders>
              <w:top w:val="single" w:sz="4" w:space="0" w:color="000000"/>
              <w:left w:val="single" w:sz="4" w:space="0" w:color="000000"/>
              <w:bottom w:val="single" w:sz="4" w:space="0" w:color="000000"/>
              <w:right w:val="single" w:sz="4" w:space="0" w:color="000000"/>
            </w:tcBorders>
            <w:vAlign w:val="center"/>
          </w:tcPr>
          <w:p w:rsidR="00701D81" w:rsidRDefault="00BD31C2" w:rsidP="00235B4C">
            <w:pPr>
              <w:suppressAutoHyphens/>
              <w:snapToGrid w:val="0"/>
              <w:jc w:val="center"/>
              <w:rPr>
                <w:rFonts w:ascii="Calibri" w:hAnsi="Calibri" w:cs="Calibri"/>
                <w:sz w:val="24"/>
                <w:szCs w:val="24"/>
                <w:lang w:eastAsia="zh-CN"/>
              </w:rPr>
            </w:pPr>
            <w:r>
              <w:rPr>
                <w:rFonts w:ascii="Calibri" w:hAnsi="Calibri" w:cs="Calibri"/>
                <w:sz w:val="24"/>
                <w:szCs w:val="24"/>
                <w:lang w:eastAsia="zh-CN"/>
              </w:rPr>
              <w:t>7</w:t>
            </w:r>
          </w:p>
        </w:tc>
      </w:tr>
      <w:tr w:rsidR="00701D81" w:rsidTr="003A12D4">
        <w:trPr>
          <w:cantSplit/>
          <w:trHeight w:val="510"/>
          <w:jc w:val="center"/>
        </w:trPr>
        <w:tc>
          <w:tcPr>
            <w:tcW w:w="440" w:type="dxa"/>
            <w:tcBorders>
              <w:top w:val="single" w:sz="4" w:space="0" w:color="000000"/>
              <w:left w:val="single" w:sz="4" w:space="0" w:color="000000"/>
              <w:bottom w:val="single" w:sz="4" w:space="0" w:color="000000"/>
              <w:right w:val="nil"/>
            </w:tcBorders>
            <w:vAlign w:val="center"/>
          </w:tcPr>
          <w:p w:rsidR="00701D81" w:rsidRPr="00427FBC" w:rsidRDefault="00E423F6" w:rsidP="003A12D4">
            <w:pPr>
              <w:suppressAutoHyphens/>
              <w:jc w:val="center"/>
              <w:rPr>
                <w:sz w:val="18"/>
                <w:szCs w:val="18"/>
                <w:lang w:eastAsia="zh-CN"/>
              </w:rPr>
            </w:pPr>
            <w:r>
              <w:rPr>
                <w:rFonts w:cs="Tahoma"/>
                <w:bCs/>
                <w:sz w:val="18"/>
                <w:szCs w:val="18"/>
              </w:rPr>
              <w:t>13</w:t>
            </w:r>
          </w:p>
        </w:tc>
        <w:tc>
          <w:tcPr>
            <w:tcW w:w="3990" w:type="dxa"/>
            <w:tcBorders>
              <w:top w:val="single" w:sz="4" w:space="0" w:color="000000"/>
              <w:left w:val="single" w:sz="4" w:space="0" w:color="000000"/>
              <w:bottom w:val="single" w:sz="4" w:space="0" w:color="000000"/>
              <w:right w:val="nil"/>
            </w:tcBorders>
          </w:tcPr>
          <w:p w:rsidR="00701D81" w:rsidRPr="00427FBC" w:rsidRDefault="00701D81" w:rsidP="00235B4C">
            <w:pPr>
              <w:suppressAutoHyphens/>
              <w:rPr>
                <w:rFonts w:cs="Tahoma"/>
                <w:sz w:val="18"/>
                <w:szCs w:val="18"/>
              </w:rPr>
            </w:pPr>
            <w:r w:rsidRPr="00427FBC">
              <w:rPr>
                <w:rFonts w:cs="Tahoma"/>
                <w:sz w:val="18"/>
                <w:szCs w:val="18"/>
              </w:rPr>
              <w:t>Ubezpieczenie na wypadek operacji chirurgicznych</w:t>
            </w:r>
          </w:p>
        </w:tc>
        <w:tc>
          <w:tcPr>
            <w:tcW w:w="1039" w:type="dxa"/>
            <w:tcBorders>
              <w:top w:val="single" w:sz="4" w:space="0" w:color="000000"/>
              <w:left w:val="single" w:sz="4" w:space="0" w:color="000000"/>
              <w:bottom w:val="single" w:sz="4" w:space="0" w:color="000000"/>
              <w:right w:val="single" w:sz="4" w:space="0" w:color="000000"/>
            </w:tcBorders>
            <w:vAlign w:val="center"/>
          </w:tcPr>
          <w:p w:rsidR="00701D81" w:rsidRPr="00841EF8" w:rsidRDefault="00701D81" w:rsidP="00235B4C">
            <w:pPr>
              <w:suppressAutoHyphens/>
              <w:jc w:val="center"/>
              <w:rPr>
                <w:b/>
                <w:sz w:val="18"/>
                <w:szCs w:val="18"/>
                <w:lang w:eastAsia="zh-CN"/>
              </w:rPr>
            </w:pPr>
            <w:r w:rsidRPr="00841EF8">
              <w:rPr>
                <w:b/>
                <w:sz w:val="18"/>
                <w:szCs w:val="18"/>
                <w:lang w:eastAsia="zh-CN"/>
              </w:rPr>
              <w:t>6 700</w:t>
            </w:r>
          </w:p>
        </w:tc>
        <w:tc>
          <w:tcPr>
            <w:tcW w:w="1039" w:type="dxa"/>
            <w:tcBorders>
              <w:top w:val="single" w:sz="4" w:space="0" w:color="000000"/>
              <w:left w:val="single" w:sz="4" w:space="0" w:color="000000"/>
              <w:bottom w:val="single" w:sz="4" w:space="0" w:color="000000"/>
              <w:right w:val="nil"/>
            </w:tcBorders>
            <w:vAlign w:val="center"/>
          </w:tcPr>
          <w:p w:rsidR="00701D81" w:rsidRPr="00E423F6" w:rsidRDefault="00995C85" w:rsidP="00235B4C">
            <w:pPr>
              <w:suppressAutoHyphens/>
              <w:jc w:val="center"/>
              <w:rPr>
                <w:b/>
                <w:sz w:val="18"/>
                <w:szCs w:val="18"/>
                <w:lang w:eastAsia="zh-CN"/>
              </w:rPr>
            </w:pPr>
            <w:r w:rsidRPr="00E423F6">
              <w:rPr>
                <w:b/>
                <w:sz w:val="18"/>
                <w:szCs w:val="18"/>
                <w:lang w:eastAsia="zh-CN"/>
              </w:rPr>
              <w:t>7 100</w:t>
            </w:r>
          </w:p>
        </w:tc>
        <w:tc>
          <w:tcPr>
            <w:tcW w:w="1040" w:type="dxa"/>
            <w:tcBorders>
              <w:top w:val="single" w:sz="4" w:space="0" w:color="000000"/>
              <w:left w:val="single" w:sz="4" w:space="0" w:color="000000"/>
              <w:bottom w:val="single" w:sz="4" w:space="0" w:color="000000"/>
              <w:right w:val="single" w:sz="4" w:space="0" w:color="000000"/>
            </w:tcBorders>
            <w:vAlign w:val="center"/>
          </w:tcPr>
          <w:p w:rsidR="00701D81" w:rsidRPr="00D25FEE" w:rsidRDefault="004B424B" w:rsidP="00235B4C">
            <w:pPr>
              <w:suppressAutoHyphens/>
              <w:snapToGrid w:val="0"/>
              <w:jc w:val="center"/>
              <w:rPr>
                <w:rFonts w:ascii="Calibri" w:hAnsi="Calibri" w:cs="Calibri"/>
                <w:b/>
                <w:sz w:val="18"/>
                <w:szCs w:val="18"/>
                <w:lang w:eastAsia="zh-CN"/>
              </w:rPr>
            </w:pPr>
            <w:r w:rsidRPr="00D25FEE">
              <w:rPr>
                <w:rFonts w:ascii="Calibri" w:hAnsi="Calibri" w:cs="Calibri"/>
                <w:b/>
                <w:sz w:val="18"/>
                <w:szCs w:val="18"/>
                <w:lang w:eastAsia="zh-CN"/>
              </w:rPr>
              <w:t>7 500</w:t>
            </w:r>
          </w:p>
        </w:tc>
        <w:tc>
          <w:tcPr>
            <w:tcW w:w="992" w:type="dxa"/>
            <w:tcBorders>
              <w:top w:val="single" w:sz="4" w:space="0" w:color="000000"/>
              <w:left w:val="single" w:sz="4" w:space="0" w:color="000000"/>
              <w:bottom w:val="single" w:sz="4" w:space="0" w:color="000000"/>
              <w:right w:val="single" w:sz="4" w:space="0" w:color="000000"/>
            </w:tcBorders>
            <w:vAlign w:val="center"/>
          </w:tcPr>
          <w:p w:rsidR="00701D81" w:rsidRDefault="00BD31C2" w:rsidP="00235B4C">
            <w:pPr>
              <w:suppressAutoHyphens/>
              <w:snapToGrid w:val="0"/>
              <w:jc w:val="center"/>
              <w:rPr>
                <w:rFonts w:ascii="Calibri" w:hAnsi="Calibri" w:cs="Calibri"/>
                <w:sz w:val="24"/>
                <w:szCs w:val="24"/>
                <w:lang w:eastAsia="zh-CN"/>
              </w:rPr>
            </w:pPr>
            <w:r>
              <w:rPr>
                <w:rFonts w:ascii="Calibri" w:hAnsi="Calibri" w:cs="Calibri"/>
                <w:sz w:val="24"/>
                <w:szCs w:val="24"/>
                <w:lang w:eastAsia="zh-CN"/>
              </w:rPr>
              <w:t>7</w:t>
            </w:r>
          </w:p>
        </w:tc>
      </w:tr>
      <w:tr w:rsidR="00701D81" w:rsidTr="003A12D4">
        <w:trPr>
          <w:cantSplit/>
          <w:trHeight w:val="262"/>
          <w:jc w:val="center"/>
        </w:trPr>
        <w:tc>
          <w:tcPr>
            <w:tcW w:w="440" w:type="dxa"/>
            <w:tcBorders>
              <w:top w:val="single" w:sz="4" w:space="0" w:color="000000"/>
              <w:left w:val="single" w:sz="4" w:space="0" w:color="000000"/>
              <w:bottom w:val="single" w:sz="4" w:space="0" w:color="000000"/>
              <w:right w:val="nil"/>
            </w:tcBorders>
            <w:vAlign w:val="center"/>
          </w:tcPr>
          <w:p w:rsidR="00701D81" w:rsidRPr="00427FBC" w:rsidRDefault="00E423F6" w:rsidP="003A12D4">
            <w:pPr>
              <w:suppressAutoHyphens/>
              <w:jc w:val="center"/>
              <w:rPr>
                <w:sz w:val="18"/>
                <w:szCs w:val="18"/>
                <w:lang w:eastAsia="zh-CN"/>
              </w:rPr>
            </w:pPr>
            <w:r>
              <w:rPr>
                <w:rFonts w:cs="Tahoma"/>
                <w:bCs/>
                <w:sz w:val="18"/>
                <w:szCs w:val="18"/>
              </w:rPr>
              <w:t>14</w:t>
            </w:r>
          </w:p>
        </w:tc>
        <w:tc>
          <w:tcPr>
            <w:tcW w:w="3990" w:type="dxa"/>
            <w:tcBorders>
              <w:top w:val="single" w:sz="4" w:space="0" w:color="000000"/>
              <w:left w:val="single" w:sz="4" w:space="0" w:color="000000"/>
              <w:bottom w:val="single" w:sz="4" w:space="0" w:color="000000"/>
              <w:right w:val="nil"/>
            </w:tcBorders>
            <w:hideMark/>
          </w:tcPr>
          <w:p w:rsidR="00701D81" w:rsidRPr="00427FBC" w:rsidRDefault="00421792" w:rsidP="00235B4C">
            <w:pPr>
              <w:suppressAutoHyphens/>
              <w:rPr>
                <w:sz w:val="18"/>
                <w:szCs w:val="18"/>
                <w:lang w:eastAsia="zh-CN"/>
              </w:rPr>
            </w:pPr>
            <w:r>
              <w:rPr>
                <w:rFonts w:cs="Tahoma"/>
                <w:sz w:val="18"/>
                <w:szCs w:val="18"/>
              </w:rPr>
              <w:t>Pobyt w Szpitalu</w:t>
            </w:r>
            <w:r w:rsidR="00701D81" w:rsidRPr="00427FBC">
              <w:rPr>
                <w:rFonts w:cs="Tahoma"/>
                <w:sz w:val="18"/>
                <w:szCs w:val="18"/>
              </w:rPr>
              <w:t xml:space="preserve">Ubezpieczonego wskutek choroby  kwota za dzień pobytu </w:t>
            </w:r>
          </w:p>
        </w:tc>
        <w:tc>
          <w:tcPr>
            <w:tcW w:w="1039" w:type="dxa"/>
            <w:tcBorders>
              <w:top w:val="single" w:sz="4" w:space="0" w:color="000000"/>
              <w:left w:val="single" w:sz="4" w:space="0" w:color="000000"/>
              <w:bottom w:val="single" w:sz="4" w:space="0" w:color="000000"/>
              <w:right w:val="single" w:sz="4" w:space="0" w:color="000000"/>
            </w:tcBorders>
            <w:vAlign w:val="center"/>
          </w:tcPr>
          <w:p w:rsidR="00701D81" w:rsidRPr="00841EF8" w:rsidRDefault="00701D81" w:rsidP="00235B4C">
            <w:pPr>
              <w:suppressAutoHyphens/>
              <w:jc w:val="center"/>
              <w:rPr>
                <w:b/>
                <w:sz w:val="18"/>
                <w:szCs w:val="18"/>
                <w:lang w:eastAsia="zh-CN"/>
              </w:rPr>
            </w:pPr>
            <w:r w:rsidRPr="00841EF8">
              <w:rPr>
                <w:b/>
                <w:sz w:val="18"/>
                <w:szCs w:val="18"/>
                <w:lang w:eastAsia="zh-CN"/>
              </w:rPr>
              <w:t>62</w:t>
            </w:r>
          </w:p>
        </w:tc>
        <w:tc>
          <w:tcPr>
            <w:tcW w:w="1039" w:type="dxa"/>
            <w:tcBorders>
              <w:top w:val="single" w:sz="4" w:space="0" w:color="000000"/>
              <w:left w:val="single" w:sz="4" w:space="0" w:color="000000"/>
              <w:bottom w:val="single" w:sz="4" w:space="0" w:color="000000"/>
              <w:right w:val="nil"/>
            </w:tcBorders>
            <w:vAlign w:val="center"/>
          </w:tcPr>
          <w:p w:rsidR="00701D81" w:rsidRPr="00E423F6" w:rsidRDefault="00995C85" w:rsidP="00235B4C">
            <w:pPr>
              <w:suppressAutoHyphens/>
              <w:jc w:val="center"/>
              <w:rPr>
                <w:b/>
                <w:sz w:val="18"/>
                <w:szCs w:val="18"/>
                <w:lang w:eastAsia="zh-CN"/>
              </w:rPr>
            </w:pPr>
            <w:r w:rsidRPr="00E423F6">
              <w:rPr>
                <w:b/>
                <w:sz w:val="18"/>
                <w:szCs w:val="18"/>
                <w:lang w:eastAsia="zh-CN"/>
              </w:rPr>
              <w:t>88</w:t>
            </w:r>
          </w:p>
        </w:tc>
        <w:tc>
          <w:tcPr>
            <w:tcW w:w="1040" w:type="dxa"/>
            <w:tcBorders>
              <w:top w:val="single" w:sz="4" w:space="0" w:color="000000"/>
              <w:left w:val="single" w:sz="4" w:space="0" w:color="000000"/>
              <w:bottom w:val="single" w:sz="4" w:space="0" w:color="000000"/>
              <w:right w:val="single" w:sz="4" w:space="0" w:color="000000"/>
            </w:tcBorders>
            <w:vAlign w:val="center"/>
          </w:tcPr>
          <w:p w:rsidR="00701D81" w:rsidRPr="00D25FEE" w:rsidRDefault="004B424B" w:rsidP="00235B4C">
            <w:pPr>
              <w:suppressAutoHyphens/>
              <w:snapToGrid w:val="0"/>
              <w:jc w:val="center"/>
              <w:rPr>
                <w:rFonts w:ascii="Calibri" w:hAnsi="Calibri" w:cs="Calibri"/>
                <w:b/>
                <w:sz w:val="18"/>
                <w:szCs w:val="18"/>
                <w:lang w:eastAsia="zh-CN"/>
              </w:rPr>
            </w:pPr>
            <w:r w:rsidRPr="009F5051">
              <w:rPr>
                <w:rFonts w:ascii="Calibri" w:hAnsi="Calibri" w:cs="Calibri"/>
                <w:b/>
                <w:sz w:val="18"/>
                <w:szCs w:val="18"/>
                <w:lang w:eastAsia="zh-CN"/>
              </w:rPr>
              <w:t>100</w:t>
            </w:r>
          </w:p>
        </w:tc>
        <w:tc>
          <w:tcPr>
            <w:tcW w:w="992" w:type="dxa"/>
            <w:tcBorders>
              <w:top w:val="single" w:sz="4" w:space="0" w:color="000000"/>
              <w:left w:val="single" w:sz="4" w:space="0" w:color="000000"/>
              <w:bottom w:val="single" w:sz="4" w:space="0" w:color="000000"/>
              <w:right w:val="single" w:sz="4" w:space="0" w:color="000000"/>
            </w:tcBorders>
            <w:vAlign w:val="center"/>
          </w:tcPr>
          <w:p w:rsidR="00701D81" w:rsidRDefault="005D1495" w:rsidP="00235B4C">
            <w:pPr>
              <w:suppressAutoHyphens/>
              <w:snapToGrid w:val="0"/>
              <w:jc w:val="center"/>
              <w:rPr>
                <w:rFonts w:ascii="Calibri" w:hAnsi="Calibri" w:cs="Calibri"/>
                <w:sz w:val="24"/>
                <w:szCs w:val="24"/>
                <w:lang w:eastAsia="zh-CN"/>
              </w:rPr>
            </w:pPr>
            <w:r>
              <w:rPr>
                <w:rFonts w:ascii="Calibri" w:hAnsi="Calibri" w:cs="Calibri"/>
                <w:sz w:val="24"/>
                <w:szCs w:val="24"/>
                <w:lang w:eastAsia="zh-CN"/>
              </w:rPr>
              <w:t>1</w:t>
            </w:r>
          </w:p>
        </w:tc>
      </w:tr>
      <w:tr w:rsidR="00701D81" w:rsidTr="003A12D4">
        <w:trPr>
          <w:cantSplit/>
          <w:trHeight w:val="693"/>
          <w:jc w:val="center"/>
        </w:trPr>
        <w:tc>
          <w:tcPr>
            <w:tcW w:w="440" w:type="dxa"/>
            <w:tcBorders>
              <w:top w:val="single" w:sz="4" w:space="0" w:color="000000"/>
              <w:left w:val="single" w:sz="4" w:space="0" w:color="000000"/>
              <w:bottom w:val="single" w:sz="4" w:space="0" w:color="000000"/>
              <w:right w:val="nil"/>
            </w:tcBorders>
            <w:vAlign w:val="center"/>
          </w:tcPr>
          <w:p w:rsidR="00701D81" w:rsidRPr="00427FBC" w:rsidRDefault="00E423F6" w:rsidP="003A12D4">
            <w:pPr>
              <w:suppressAutoHyphens/>
              <w:jc w:val="center"/>
              <w:rPr>
                <w:sz w:val="18"/>
                <w:szCs w:val="18"/>
                <w:lang w:eastAsia="zh-CN"/>
              </w:rPr>
            </w:pPr>
            <w:r>
              <w:rPr>
                <w:rFonts w:cs="Tahoma"/>
                <w:bCs/>
                <w:sz w:val="18"/>
                <w:szCs w:val="18"/>
              </w:rPr>
              <w:t>15</w:t>
            </w:r>
          </w:p>
        </w:tc>
        <w:tc>
          <w:tcPr>
            <w:tcW w:w="3990" w:type="dxa"/>
            <w:tcBorders>
              <w:top w:val="single" w:sz="4" w:space="0" w:color="000000"/>
              <w:left w:val="single" w:sz="4" w:space="0" w:color="000000"/>
              <w:bottom w:val="single" w:sz="4" w:space="0" w:color="000000"/>
              <w:right w:val="nil"/>
            </w:tcBorders>
            <w:hideMark/>
          </w:tcPr>
          <w:p w:rsidR="00701D81" w:rsidRPr="00427FBC" w:rsidRDefault="00421792" w:rsidP="00701D81">
            <w:pPr>
              <w:pStyle w:val="Nagwek4"/>
              <w:numPr>
                <w:ilvl w:val="3"/>
                <w:numId w:val="12"/>
              </w:numPr>
              <w:jc w:val="left"/>
              <w:rPr>
                <w:rFonts w:asciiTheme="minorHAnsi" w:hAnsiTheme="minorHAnsi"/>
                <w:sz w:val="18"/>
                <w:szCs w:val="18"/>
              </w:rPr>
            </w:pPr>
            <w:r>
              <w:rPr>
                <w:rFonts w:asciiTheme="minorHAnsi" w:hAnsiTheme="minorHAnsi" w:cs="Tahoma"/>
                <w:sz w:val="18"/>
                <w:szCs w:val="18"/>
              </w:rPr>
              <w:t>Pobyt w Szpitalu</w:t>
            </w:r>
            <w:r w:rsidR="00701D81" w:rsidRPr="00427FBC">
              <w:rPr>
                <w:rFonts w:asciiTheme="minorHAnsi" w:hAnsiTheme="minorHAnsi" w:cs="Tahoma"/>
                <w:sz w:val="18"/>
                <w:szCs w:val="18"/>
              </w:rPr>
              <w:t xml:space="preserve">Ubezpieczonego wskutek nieszczęśliwego wypadku - kwota za dzień pobytu </w:t>
            </w:r>
          </w:p>
        </w:tc>
        <w:tc>
          <w:tcPr>
            <w:tcW w:w="1039" w:type="dxa"/>
            <w:tcBorders>
              <w:top w:val="single" w:sz="4" w:space="0" w:color="000000"/>
              <w:left w:val="single" w:sz="4" w:space="0" w:color="000000"/>
              <w:bottom w:val="single" w:sz="4" w:space="0" w:color="000000"/>
              <w:right w:val="single" w:sz="4" w:space="0" w:color="000000"/>
            </w:tcBorders>
            <w:vAlign w:val="center"/>
          </w:tcPr>
          <w:p w:rsidR="00701D81" w:rsidRPr="00841EF8" w:rsidRDefault="00701D81" w:rsidP="00235B4C">
            <w:pPr>
              <w:jc w:val="center"/>
              <w:rPr>
                <w:rFonts w:cs="Tahoma"/>
                <w:b/>
                <w:bCs/>
                <w:sz w:val="18"/>
                <w:szCs w:val="18"/>
              </w:rPr>
            </w:pPr>
            <w:r w:rsidRPr="00841EF8">
              <w:rPr>
                <w:rFonts w:cs="Tahoma"/>
                <w:b/>
                <w:bCs/>
                <w:sz w:val="18"/>
                <w:szCs w:val="18"/>
              </w:rPr>
              <w:t>155</w:t>
            </w:r>
          </w:p>
        </w:tc>
        <w:tc>
          <w:tcPr>
            <w:tcW w:w="1039" w:type="dxa"/>
            <w:tcBorders>
              <w:top w:val="single" w:sz="4" w:space="0" w:color="000000"/>
              <w:left w:val="single" w:sz="4" w:space="0" w:color="000000"/>
              <w:bottom w:val="single" w:sz="4" w:space="0" w:color="000000"/>
              <w:right w:val="nil"/>
            </w:tcBorders>
            <w:vAlign w:val="center"/>
          </w:tcPr>
          <w:p w:rsidR="00701D81" w:rsidRPr="00E423F6" w:rsidRDefault="00995C85" w:rsidP="00235B4C">
            <w:pPr>
              <w:suppressAutoHyphens/>
              <w:jc w:val="center"/>
              <w:rPr>
                <w:rFonts w:cs="Calibri"/>
                <w:b/>
                <w:sz w:val="18"/>
                <w:szCs w:val="18"/>
                <w:lang w:eastAsia="zh-CN"/>
              </w:rPr>
            </w:pPr>
            <w:r w:rsidRPr="00E423F6">
              <w:rPr>
                <w:rFonts w:cs="Calibri"/>
                <w:b/>
                <w:sz w:val="18"/>
                <w:szCs w:val="18"/>
                <w:lang w:eastAsia="zh-CN"/>
              </w:rPr>
              <w:t>175,50</w:t>
            </w:r>
          </w:p>
        </w:tc>
        <w:tc>
          <w:tcPr>
            <w:tcW w:w="1040" w:type="dxa"/>
            <w:tcBorders>
              <w:top w:val="single" w:sz="4" w:space="0" w:color="000000"/>
              <w:left w:val="single" w:sz="4" w:space="0" w:color="000000"/>
              <w:bottom w:val="single" w:sz="4" w:space="0" w:color="000000"/>
              <w:right w:val="single" w:sz="4" w:space="0" w:color="000000"/>
            </w:tcBorders>
            <w:vAlign w:val="center"/>
          </w:tcPr>
          <w:p w:rsidR="00701D81" w:rsidRPr="00D25FEE" w:rsidRDefault="004B424B" w:rsidP="00235B4C">
            <w:pPr>
              <w:suppressAutoHyphens/>
              <w:snapToGrid w:val="0"/>
              <w:jc w:val="center"/>
              <w:rPr>
                <w:rFonts w:ascii="Calibri" w:hAnsi="Calibri" w:cs="Calibri"/>
                <w:b/>
                <w:sz w:val="18"/>
                <w:szCs w:val="18"/>
                <w:lang w:eastAsia="zh-CN"/>
              </w:rPr>
            </w:pPr>
            <w:r w:rsidRPr="00D25FEE">
              <w:rPr>
                <w:rFonts w:ascii="Calibri" w:hAnsi="Calibri" w:cs="Calibri"/>
                <w:b/>
                <w:sz w:val="18"/>
                <w:szCs w:val="18"/>
                <w:lang w:eastAsia="zh-CN"/>
              </w:rPr>
              <w:t>250</w:t>
            </w:r>
          </w:p>
        </w:tc>
        <w:tc>
          <w:tcPr>
            <w:tcW w:w="992" w:type="dxa"/>
            <w:tcBorders>
              <w:top w:val="single" w:sz="4" w:space="0" w:color="000000"/>
              <w:left w:val="single" w:sz="4" w:space="0" w:color="000000"/>
              <w:bottom w:val="single" w:sz="4" w:space="0" w:color="000000"/>
              <w:right w:val="single" w:sz="4" w:space="0" w:color="000000"/>
            </w:tcBorders>
            <w:vAlign w:val="center"/>
          </w:tcPr>
          <w:p w:rsidR="00701D81" w:rsidRDefault="005D1495" w:rsidP="00235B4C">
            <w:pPr>
              <w:suppressAutoHyphens/>
              <w:snapToGrid w:val="0"/>
              <w:jc w:val="center"/>
              <w:rPr>
                <w:rFonts w:ascii="Calibri" w:hAnsi="Calibri" w:cs="Calibri"/>
                <w:sz w:val="24"/>
                <w:szCs w:val="24"/>
                <w:lang w:eastAsia="zh-CN"/>
              </w:rPr>
            </w:pPr>
            <w:r>
              <w:rPr>
                <w:rFonts w:ascii="Calibri" w:hAnsi="Calibri" w:cs="Calibri"/>
                <w:sz w:val="24"/>
                <w:szCs w:val="24"/>
                <w:lang w:eastAsia="zh-CN"/>
              </w:rPr>
              <w:t>1</w:t>
            </w:r>
          </w:p>
        </w:tc>
      </w:tr>
      <w:tr w:rsidR="00701D81" w:rsidTr="00C16F74">
        <w:trPr>
          <w:trHeight w:val="510"/>
          <w:jc w:val="center"/>
        </w:trPr>
        <w:tc>
          <w:tcPr>
            <w:tcW w:w="440" w:type="dxa"/>
            <w:tcBorders>
              <w:top w:val="single" w:sz="4" w:space="0" w:color="000000"/>
              <w:left w:val="single" w:sz="4" w:space="0" w:color="000000"/>
              <w:bottom w:val="single" w:sz="4" w:space="0" w:color="000000"/>
              <w:right w:val="nil"/>
            </w:tcBorders>
            <w:vAlign w:val="center"/>
          </w:tcPr>
          <w:p w:rsidR="00701D81" w:rsidRPr="00427FBC" w:rsidRDefault="00E423F6" w:rsidP="003A12D4">
            <w:pPr>
              <w:suppressAutoHyphens/>
              <w:jc w:val="center"/>
              <w:rPr>
                <w:sz w:val="18"/>
                <w:szCs w:val="18"/>
                <w:lang w:eastAsia="zh-CN"/>
              </w:rPr>
            </w:pPr>
            <w:r>
              <w:rPr>
                <w:rFonts w:cs="Tahoma"/>
                <w:bCs/>
                <w:sz w:val="18"/>
                <w:szCs w:val="18"/>
              </w:rPr>
              <w:lastRenderedPageBreak/>
              <w:t>16</w:t>
            </w:r>
          </w:p>
        </w:tc>
        <w:tc>
          <w:tcPr>
            <w:tcW w:w="3990" w:type="dxa"/>
            <w:tcBorders>
              <w:top w:val="single" w:sz="4" w:space="0" w:color="000000"/>
              <w:left w:val="single" w:sz="4" w:space="0" w:color="000000"/>
              <w:bottom w:val="single" w:sz="4" w:space="0" w:color="000000"/>
              <w:right w:val="nil"/>
            </w:tcBorders>
            <w:hideMark/>
          </w:tcPr>
          <w:p w:rsidR="00701D81" w:rsidRPr="00427FBC" w:rsidRDefault="00421792" w:rsidP="00235B4C">
            <w:pPr>
              <w:suppressAutoHyphens/>
              <w:rPr>
                <w:sz w:val="18"/>
                <w:szCs w:val="18"/>
                <w:lang w:eastAsia="zh-CN"/>
              </w:rPr>
            </w:pPr>
            <w:r>
              <w:rPr>
                <w:rFonts w:cs="Tahoma"/>
                <w:sz w:val="18"/>
                <w:szCs w:val="18"/>
              </w:rPr>
              <w:t>Pobyt w Szpitalu</w:t>
            </w:r>
            <w:r w:rsidR="00701D81" w:rsidRPr="00427FBC">
              <w:rPr>
                <w:rFonts w:cs="Tahoma"/>
                <w:sz w:val="18"/>
                <w:szCs w:val="18"/>
              </w:rPr>
              <w:t xml:space="preserve">Ubezpieczonego wskutek wypadku komunikacyjnego kwota za dzień pobytu </w:t>
            </w:r>
          </w:p>
        </w:tc>
        <w:tc>
          <w:tcPr>
            <w:tcW w:w="1039" w:type="dxa"/>
            <w:tcBorders>
              <w:top w:val="single" w:sz="4" w:space="0" w:color="000000"/>
              <w:left w:val="single" w:sz="4" w:space="0" w:color="000000"/>
              <w:bottom w:val="single" w:sz="4" w:space="0" w:color="000000"/>
              <w:right w:val="single" w:sz="4" w:space="0" w:color="000000"/>
            </w:tcBorders>
            <w:vAlign w:val="center"/>
          </w:tcPr>
          <w:p w:rsidR="00701D81" w:rsidRPr="00841EF8" w:rsidRDefault="00701D81" w:rsidP="00235B4C">
            <w:pPr>
              <w:suppressAutoHyphens/>
              <w:jc w:val="center"/>
              <w:rPr>
                <w:rFonts w:cs="Tahoma"/>
                <w:b/>
                <w:bCs/>
                <w:sz w:val="18"/>
                <w:szCs w:val="18"/>
              </w:rPr>
            </w:pPr>
            <w:r w:rsidRPr="00841EF8">
              <w:rPr>
                <w:rFonts w:cs="Tahoma"/>
                <w:b/>
                <w:bCs/>
                <w:sz w:val="18"/>
                <w:szCs w:val="18"/>
              </w:rPr>
              <w:t>186</w:t>
            </w:r>
          </w:p>
        </w:tc>
        <w:tc>
          <w:tcPr>
            <w:tcW w:w="1039" w:type="dxa"/>
            <w:tcBorders>
              <w:top w:val="single" w:sz="4" w:space="0" w:color="000000"/>
              <w:left w:val="single" w:sz="4" w:space="0" w:color="000000"/>
              <w:bottom w:val="single" w:sz="4" w:space="0" w:color="000000"/>
              <w:right w:val="nil"/>
            </w:tcBorders>
            <w:vAlign w:val="center"/>
          </w:tcPr>
          <w:p w:rsidR="00701D81" w:rsidRPr="00E423F6" w:rsidRDefault="00995C85" w:rsidP="00235B4C">
            <w:pPr>
              <w:suppressAutoHyphens/>
              <w:jc w:val="center"/>
              <w:rPr>
                <w:b/>
                <w:sz w:val="18"/>
                <w:szCs w:val="18"/>
                <w:lang w:eastAsia="zh-CN"/>
              </w:rPr>
            </w:pPr>
            <w:r w:rsidRPr="00E423F6">
              <w:rPr>
                <w:b/>
                <w:sz w:val="18"/>
                <w:szCs w:val="18"/>
                <w:lang w:eastAsia="zh-CN"/>
              </w:rPr>
              <w:t>195</w:t>
            </w:r>
          </w:p>
        </w:tc>
        <w:tc>
          <w:tcPr>
            <w:tcW w:w="1040" w:type="dxa"/>
            <w:tcBorders>
              <w:top w:val="single" w:sz="4" w:space="0" w:color="000000"/>
              <w:left w:val="single" w:sz="4" w:space="0" w:color="000000"/>
              <w:bottom w:val="single" w:sz="4" w:space="0" w:color="000000"/>
              <w:right w:val="single" w:sz="4" w:space="0" w:color="000000"/>
            </w:tcBorders>
            <w:vAlign w:val="center"/>
          </w:tcPr>
          <w:p w:rsidR="00701D81" w:rsidRPr="00D25FEE" w:rsidRDefault="004B424B" w:rsidP="00235B4C">
            <w:pPr>
              <w:suppressAutoHyphens/>
              <w:snapToGrid w:val="0"/>
              <w:jc w:val="center"/>
              <w:rPr>
                <w:rFonts w:ascii="Calibri" w:hAnsi="Calibri" w:cs="Calibri"/>
                <w:b/>
                <w:sz w:val="18"/>
                <w:szCs w:val="18"/>
                <w:lang w:eastAsia="zh-CN"/>
              </w:rPr>
            </w:pPr>
            <w:r w:rsidRPr="00D25FEE">
              <w:rPr>
                <w:rFonts w:ascii="Calibri" w:hAnsi="Calibri" w:cs="Calibri"/>
                <w:b/>
                <w:sz w:val="18"/>
                <w:szCs w:val="18"/>
                <w:lang w:eastAsia="zh-CN"/>
              </w:rPr>
              <w:t>350</w:t>
            </w:r>
          </w:p>
        </w:tc>
        <w:tc>
          <w:tcPr>
            <w:tcW w:w="992" w:type="dxa"/>
            <w:tcBorders>
              <w:top w:val="single" w:sz="4" w:space="0" w:color="000000"/>
              <w:left w:val="single" w:sz="4" w:space="0" w:color="000000"/>
              <w:bottom w:val="single" w:sz="4" w:space="0" w:color="000000"/>
              <w:right w:val="single" w:sz="4" w:space="0" w:color="000000"/>
            </w:tcBorders>
            <w:vAlign w:val="center"/>
          </w:tcPr>
          <w:p w:rsidR="00701D81" w:rsidRDefault="005D1495" w:rsidP="00235B4C">
            <w:pPr>
              <w:suppressAutoHyphens/>
              <w:snapToGrid w:val="0"/>
              <w:jc w:val="center"/>
              <w:rPr>
                <w:rFonts w:ascii="Calibri" w:hAnsi="Calibri" w:cs="Calibri"/>
                <w:sz w:val="24"/>
                <w:szCs w:val="24"/>
                <w:lang w:eastAsia="zh-CN"/>
              </w:rPr>
            </w:pPr>
            <w:r>
              <w:rPr>
                <w:rFonts w:ascii="Calibri" w:hAnsi="Calibri" w:cs="Calibri"/>
                <w:sz w:val="24"/>
                <w:szCs w:val="24"/>
                <w:lang w:eastAsia="zh-CN"/>
              </w:rPr>
              <w:t>1</w:t>
            </w:r>
          </w:p>
        </w:tc>
      </w:tr>
      <w:tr w:rsidR="00701D81" w:rsidTr="00C16F74">
        <w:trPr>
          <w:cantSplit/>
          <w:trHeight w:val="510"/>
          <w:jc w:val="center"/>
        </w:trPr>
        <w:tc>
          <w:tcPr>
            <w:tcW w:w="440" w:type="dxa"/>
            <w:tcBorders>
              <w:top w:val="single" w:sz="4" w:space="0" w:color="000000"/>
              <w:left w:val="single" w:sz="4" w:space="0" w:color="000000"/>
              <w:bottom w:val="single" w:sz="4" w:space="0" w:color="000000"/>
              <w:right w:val="nil"/>
            </w:tcBorders>
            <w:vAlign w:val="center"/>
          </w:tcPr>
          <w:p w:rsidR="00701D81" w:rsidRPr="00427FBC" w:rsidRDefault="00E423F6" w:rsidP="003A12D4">
            <w:pPr>
              <w:suppressAutoHyphens/>
              <w:jc w:val="center"/>
              <w:rPr>
                <w:sz w:val="18"/>
                <w:szCs w:val="18"/>
                <w:lang w:eastAsia="zh-CN"/>
              </w:rPr>
            </w:pPr>
            <w:r>
              <w:rPr>
                <w:rFonts w:cs="Tahoma"/>
                <w:bCs/>
                <w:sz w:val="18"/>
                <w:szCs w:val="18"/>
              </w:rPr>
              <w:t>17</w:t>
            </w:r>
          </w:p>
        </w:tc>
        <w:tc>
          <w:tcPr>
            <w:tcW w:w="3990" w:type="dxa"/>
            <w:tcBorders>
              <w:top w:val="single" w:sz="4" w:space="0" w:color="000000"/>
              <w:left w:val="single" w:sz="4" w:space="0" w:color="000000"/>
              <w:bottom w:val="single" w:sz="4" w:space="0" w:color="000000"/>
              <w:right w:val="nil"/>
            </w:tcBorders>
            <w:hideMark/>
          </w:tcPr>
          <w:p w:rsidR="00701D81" w:rsidRPr="00427FBC" w:rsidRDefault="00421792" w:rsidP="00421792">
            <w:pPr>
              <w:suppressAutoHyphens/>
              <w:rPr>
                <w:sz w:val="18"/>
                <w:szCs w:val="18"/>
                <w:lang w:eastAsia="zh-CN"/>
              </w:rPr>
            </w:pPr>
            <w:r>
              <w:rPr>
                <w:rFonts w:cs="Tahoma"/>
                <w:sz w:val="18"/>
                <w:szCs w:val="18"/>
              </w:rPr>
              <w:t>Pobyt w Szpitalu</w:t>
            </w:r>
            <w:r w:rsidR="00701D81" w:rsidRPr="00427FBC">
              <w:rPr>
                <w:rFonts w:cs="Tahoma"/>
                <w:sz w:val="18"/>
                <w:szCs w:val="18"/>
              </w:rPr>
              <w:t xml:space="preserve">Ubezpieczonego wskutek wypadku przy pracy - kwota za dzień pobytu </w:t>
            </w:r>
            <w:bookmarkStart w:id="0" w:name="_GoBack"/>
            <w:bookmarkEnd w:id="0"/>
          </w:p>
        </w:tc>
        <w:tc>
          <w:tcPr>
            <w:tcW w:w="1039" w:type="dxa"/>
            <w:tcBorders>
              <w:top w:val="single" w:sz="4" w:space="0" w:color="000000"/>
              <w:left w:val="single" w:sz="4" w:space="0" w:color="000000"/>
              <w:bottom w:val="single" w:sz="4" w:space="0" w:color="000000"/>
              <w:right w:val="single" w:sz="4" w:space="0" w:color="000000"/>
            </w:tcBorders>
            <w:vAlign w:val="center"/>
          </w:tcPr>
          <w:p w:rsidR="00701D81" w:rsidRPr="00841EF8" w:rsidRDefault="00701D81" w:rsidP="00235B4C">
            <w:pPr>
              <w:suppressAutoHyphens/>
              <w:jc w:val="center"/>
              <w:rPr>
                <w:rFonts w:cs="Tahoma"/>
                <w:b/>
                <w:bCs/>
                <w:sz w:val="18"/>
                <w:szCs w:val="18"/>
              </w:rPr>
            </w:pPr>
            <w:r w:rsidRPr="00841EF8">
              <w:rPr>
                <w:rFonts w:cs="Tahoma"/>
                <w:b/>
                <w:bCs/>
                <w:sz w:val="18"/>
                <w:szCs w:val="18"/>
              </w:rPr>
              <w:t>186</w:t>
            </w:r>
          </w:p>
        </w:tc>
        <w:tc>
          <w:tcPr>
            <w:tcW w:w="1039" w:type="dxa"/>
            <w:tcBorders>
              <w:top w:val="single" w:sz="4" w:space="0" w:color="000000"/>
              <w:left w:val="single" w:sz="4" w:space="0" w:color="000000"/>
              <w:bottom w:val="single" w:sz="4" w:space="0" w:color="000000"/>
              <w:right w:val="nil"/>
            </w:tcBorders>
            <w:vAlign w:val="center"/>
          </w:tcPr>
          <w:p w:rsidR="00701D81" w:rsidRPr="00E423F6" w:rsidRDefault="00995C85" w:rsidP="00235B4C">
            <w:pPr>
              <w:suppressAutoHyphens/>
              <w:jc w:val="center"/>
              <w:rPr>
                <w:b/>
                <w:sz w:val="18"/>
                <w:szCs w:val="18"/>
                <w:lang w:eastAsia="zh-CN"/>
              </w:rPr>
            </w:pPr>
            <w:r w:rsidRPr="00E423F6">
              <w:rPr>
                <w:b/>
                <w:sz w:val="18"/>
                <w:szCs w:val="18"/>
                <w:lang w:eastAsia="zh-CN"/>
              </w:rPr>
              <w:t>195</w:t>
            </w:r>
          </w:p>
        </w:tc>
        <w:tc>
          <w:tcPr>
            <w:tcW w:w="1040" w:type="dxa"/>
            <w:tcBorders>
              <w:top w:val="single" w:sz="4" w:space="0" w:color="000000"/>
              <w:left w:val="single" w:sz="4" w:space="0" w:color="000000"/>
              <w:bottom w:val="single" w:sz="4" w:space="0" w:color="000000"/>
              <w:right w:val="single" w:sz="4" w:space="0" w:color="000000"/>
            </w:tcBorders>
            <w:vAlign w:val="center"/>
          </w:tcPr>
          <w:p w:rsidR="00701D81" w:rsidRPr="00D25FEE" w:rsidRDefault="004B424B" w:rsidP="00235B4C">
            <w:pPr>
              <w:suppressAutoHyphens/>
              <w:snapToGrid w:val="0"/>
              <w:jc w:val="center"/>
              <w:rPr>
                <w:rFonts w:ascii="Calibri" w:hAnsi="Calibri" w:cs="Calibri"/>
                <w:b/>
                <w:sz w:val="18"/>
                <w:szCs w:val="18"/>
                <w:lang w:eastAsia="zh-CN"/>
              </w:rPr>
            </w:pPr>
            <w:r w:rsidRPr="00D25FEE">
              <w:rPr>
                <w:rFonts w:ascii="Calibri" w:hAnsi="Calibri" w:cs="Calibri"/>
                <w:b/>
                <w:sz w:val="18"/>
                <w:szCs w:val="18"/>
                <w:lang w:eastAsia="zh-CN"/>
              </w:rPr>
              <w:t>350</w:t>
            </w:r>
          </w:p>
        </w:tc>
        <w:tc>
          <w:tcPr>
            <w:tcW w:w="992" w:type="dxa"/>
            <w:tcBorders>
              <w:top w:val="single" w:sz="4" w:space="0" w:color="000000"/>
              <w:left w:val="single" w:sz="4" w:space="0" w:color="000000"/>
              <w:bottom w:val="single" w:sz="4" w:space="0" w:color="000000"/>
              <w:right w:val="single" w:sz="4" w:space="0" w:color="000000"/>
            </w:tcBorders>
            <w:vAlign w:val="center"/>
          </w:tcPr>
          <w:p w:rsidR="00701D81" w:rsidRDefault="005D1495" w:rsidP="00235B4C">
            <w:pPr>
              <w:suppressAutoHyphens/>
              <w:snapToGrid w:val="0"/>
              <w:jc w:val="center"/>
              <w:rPr>
                <w:rFonts w:ascii="Calibri" w:hAnsi="Calibri" w:cs="Calibri"/>
                <w:sz w:val="24"/>
                <w:szCs w:val="24"/>
                <w:lang w:eastAsia="zh-CN"/>
              </w:rPr>
            </w:pPr>
            <w:r>
              <w:rPr>
                <w:rFonts w:ascii="Calibri" w:hAnsi="Calibri" w:cs="Calibri"/>
                <w:sz w:val="24"/>
                <w:szCs w:val="24"/>
                <w:lang w:eastAsia="zh-CN"/>
              </w:rPr>
              <w:t>1</w:t>
            </w:r>
          </w:p>
        </w:tc>
      </w:tr>
      <w:tr w:rsidR="00701D81" w:rsidTr="003A12D4">
        <w:trPr>
          <w:cantSplit/>
          <w:trHeight w:val="510"/>
          <w:jc w:val="center"/>
        </w:trPr>
        <w:tc>
          <w:tcPr>
            <w:tcW w:w="440" w:type="dxa"/>
            <w:tcBorders>
              <w:top w:val="nil"/>
              <w:left w:val="single" w:sz="4" w:space="0" w:color="000000"/>
              <w:bottom w:val="single" w:sz="4" w:space="0" w:color="000000"/>
              <w:right w:val="nil"/>
            </w:tcBorders>
            <w:vAlign w:val="center"/>
          </w:tcPr>
          <w:p w:rsidR="00701D81" w:rsidRPr="00427FBC" w:rsidRDefault="00E423F6" w:rsidP="003A12D4">
            <w:pPr>
              <w:suppressAutoHyphens/>
              <w:jc w:val="center"/>
              <w:rPr>
                <w:sz w:val="18"/>
                <w:szCs w:val="18"/>
                <w:lang w:eastAsia="zh-CN"/>
              </w:rPr>
            </w:pPr>
            <w:r>
              <w:rPr>
                <w:sz w:val="18"/>
                <w:szCs w:val="18"/>
                <w:lang w:eastAsia="zh-CN"/>
              </w:rPr>
              <w:t>18</w:t>
            </w:r>
          </w:p>
        </w:tc>
        <w:tc>
          <w:tcPr>
            <w:tcW w:w="3990" w:type="dxa"/>
            <w:tcBorders>
              <w:top w:val="nil"/>
              <w:left w:val="single" w:sz="4" w:space="0" w:color="000000"/>
              <w:bottom w:val="single" w:sz="4" w:space="0" w:color="000000"/>
              <w:right w:val="nil"/>
            </w:tcBorders>
          </w:tcPr>
          <w:p w:rsidR="00701D81" w:rsidRPr="00427FBC" w:rsidRDefault="00421792" w:rsidP="00235B4C">
            <w:pPr>
              <w:suppressAutoHyphens/>
              <w:rPr>
                <w:rFonts w:cs="Tahoma"/>
                <w:sz w:val="18"/>
                <w:szCs w:val="18"/>
              </w:rPr>
            </w:pPr>
            <w:r>
              <w:rPr>
                <w:rFonts w:cs="Tahoma"/>
                <w:sz w:val="18"/>
                <w:szCs w:val="18"/>
              </w:rPr>
              <w:t>Pobyt w Szpitalu</w:t>
            </w:r>
            <w:r w:rsidR="00701D81" w:rsidRPr="00427FBC">
              <w:rPr>
                <w:rFonts w:cs="Tahoma"/>
                <w:sz w:val="18"/>
                <w:szCs w:val="18"/>
              </w:rPr>
              <w:t>Ubezpieczonego wskutek wypadku komunikacyjnego</w:t>
            </w:r>
            <w:r w:rsidR="00701D81">
              <w:rPr>
                <w:rFonts w:cs="Tahoma"/>
                <w:sz w:val="18"/>
                <w:szCs w:val="18"/>
              </w:rPr>
              <w:t xml:space="preserve"> przy pracy</w:t>
            </w:r>
            <w:r w:rsidR="00701D81" w:rsidRPr="00427FBC">
              <w:rPr>
                <w:rFonts w:cs="Tahoma"/>
                <w:sz w:val="18"/>
                <w:szCs w:val="18"/>
              </w:rPr>
              <w:t xml:space="preserve"> kwota za dzień pobytu </w:t>
            </w:r>
          </w:p>
        </w:tc>
        <w:tc>
          <w:tcPr>
            <w:tcW w:w="1039" w:type="dxa"/>
            <w:tcBorders>
              <w:top w:val="single" w:sz="4" w:space="0" w:color="000000"/>
              <w:left w:val="single" w:sz="4" w:space="0" w:color="000000"/>
              <w:bottom w:val="single" w:sz="4" w:space="0" w:color="000000"/>
              <w:right w:val="single" w:sz="4" w:space="0" w:color="000000"/>
            </w:tcBorders>
            <w:vAlign w:val="center"/>
          </w:tcPr>
          <w:p w:rsidR="00701D81" w:rsidRPr="00841EF8" w:rsidRDefault="00701D81" w:rsidP="00235B4C">
            <w:pPr>
              <w:suppressAutoHyphens/>
              <w:jc w:val="center"/>
              <w:rPr>
                <w:rFonts w:cs="Tahoma"/>
                <w:b/>
                <w:bCs/>
                <w:sz w:val="18"/>
                <w:szCs w:val="18"/>
              </w:rPr>
            </w:pPr>
            <w:r w:rsidRPr="00841EF8">
              <w:rPr>
                <w:rFonts w:cs="Tahoma"/>
                <w:b/>
                <w:bCs/>
                <w:sz w:val="18"/>
                <w:szCs w:val="18"/>
              </w:rPr>
              <w:t>217</w:t>
            </w:r>
          </w:p>
        </w:tc>
        <w:tc>
          <w:tcPr>
            <w:tcW w:w="1039" w:type="dxa"/>
            <w:tcBorders>
              <w:top w:val="single" w:sz="4" w:space="0" w:color="000000"/>
              <w:left w:val="single" w:sz="4" w:space="0" w:color="000000"/>
              <w:bottom w:val="single" w:sz="4" w:space="0" w:color="000000"/>
              <w:right w:val="nil"/>
            </w:tcBorders>
            <w:vAlign w:val="center"/>
          </w:tcPr>
          <w:p w:rsidR="00701D81" w:rsidRPr="00E423F6" w:rsidRDefault="00995C85" w:rsidP="00235B4C">
            <w:pPr>
              <w:suppressAutoHyphens/>
              <w:jc w:val="center"/>
              <w:rPr>
                <w:b/>
                <w:sz w:val="18"/>
                <w:szCs w:val="18"/>
                <w:lang w:eastAsia="zh-CN"/>
              </w:rPr>
            </w:pPr>
            <w:r w:rsidRPr="00E423F6">
              <w:rPr>
                <w:b/>
                <w:sz w:val="18"/>
                <w:szCs w:val="18"/>
                <w:lang w:eastAsia="zh-CN"/>
              </w:rPr>
              <w:t>214,50</w:t>
            </w:r>
          </w:p>
        </w:tc>
        <w:tc>
          <w:tcPr>
            <w:tcW w:w="1040" w:type="dxa"/>
            <w:tcBorders>
              <w:top w:val="single" w:sz="4" w:space="0" w:color="000000"/>
              <w:left w:val="single" w:sz="4" w:space="0" w:color="000000"/>
              <w:bottom w:val="single" w:sz="4" w:space="0" w:color="000000"/>
              <w:right w:val="single" w:sz="4" w:space="0" w:color="000000"/>
            </w:tcBorders>
            <w:vAlign w:val="center"/>
          </w:tcPr>
          <w:p w:rsidR="00701D81" w:rsidRPr="00D25FEE" w:rsidRDefault="004B424B" w:rsidP="00235B4C">
            <w:pPr>
              <w:suppressAutoHyphens/>
              <w:snapToGrid w:val="0"/>
              <w:jc w:val="center"/>
              <w:rPr>
                <w:rFonts w:ascii="Calibri" w:hAnsi="Calibri" w:cs="Calibri"/>
                <w:b/>
                <w:sz w:val="18"/>
                <w:szCs w:val="18"/>
                <w:lang w:eastAsia="zh-CN"/>
              </w:rPr>
            </w:pPr>
            <w:r w:rsidRPr="00D25FEE">
              <w:rPr>
                <w:rFonts w:ascii="Calibri" w:hAnsi="Calibri" w:cs="Calibri"/>
                <w:b/>
                <w:sz w:val="18"/>
                <w:szCs w:val="18"/>
                <w:lang w:eastAsia="zh-CN"/>
              </w:rPr>
              <w:t>450</w:t>
            </w:r>
          </w:p>
        </w:tc>
        <w:tc>
          <w:tcPr>
            <w:tcW w:w="992" w:type="dxa"/>
            <w:tcBorders>
              <w:top w:val="single" w:sz="4" w:space="0" w:color="000000"/>
              <w:left w:val="single" w:sz="4" w:space="0" w:color="000000"/>
              <w:bottom w:val="single" w:sz="4" w:space="0" w:color="000000"/>
              <w:right w:val="single" w:sz="4" w:space="0" w:color="000000"/>
            </w:tcBorders>
            <w:vAlign w:val="center"/>
          </w:tcPr>
          <w:p w:rsidR="00701D81" w:rsidRDefault="005D1495" w:rsidP="00235B4C">
            <w:pPr>
              <w:suppressAutoHyphens/>
              <w:snapToGrid w:val="0"/>
              <w:jc w:val="center"/>
              <w:rPr>
                <w:rFonts w:ascii="Calibri" w:hAnsi="Calibri" w:cs="Calibri"/>
                <w:sz w:val="24"/>
                <w:szCs w:val="24"/>
                <w:lang w:eastAsia="zh-CN"/>
              </w:rPr>
            </w:pPr>
            <w:r>
              <w:rPr>
                <w:rFonts w:ascii="Calibri" w:hAnsi="Calibri" w:cs="Calibri"/>
                <w:sz w:val="24"/>
                <w:szCs w:val="24"/>
                <w:lang w:eastAsia="zh-CN"/>
              </w:rPr>
              <w:t>1</w:t>
            </w:r>
          </w:p>
        </w:tc>
      </w:tr>
      <w:tr w:rsidR="00701D81" w:rsidTr="003A12D4">
        <w:trPr>
          <w:cantSplit/>
          <w:trHeight w:val="328"/>
          <w:jc w:val="center"/>
        </w:trPr>
        <w:tc>
          <w:tcPr>
            <w:tcW w:w="440" w:type="dxa"/>
            <w:tcBorders>
              <w:top w:val="nil"/>
              <w:left w:val="single" w:sz="4" w:space="0" w:color="000000"/>
              <w:bottom w:val="single" w:sz="4" w:space="0" w:color="000000"/>
              <w:right w:val="nil"/>
            </w:tcBorders>
            <w:vAlign w:val="center"/>
          </w:tcPr>
          <w:p w:rsidR="00701D81" w:rsidRPr="00427FBC" w:rsidRDefault="00E423F6" w:rsidP="003A12D4">
            <w:pPr>
              <w:suppressAutoHyphens/>
              <w:jc w:val="center"/>
              <w:rPr>
                <w:rFonts w:cs="Tahoma"/>
                <w:bCs/>
                <w:sz w:val="18"/>
                <w:szCs w:val="18"/>
              </w:rPr>
            </w:pPr>
            <w:r>
              <w:rPr>
                <w:rFonts w:cs="Tahoma"/>
                <w:bCs/>
                <w:sz w:val="18"/>
                <w:szCs w:val="18"/>
              </w:rPr>
              <w:t>19</w:t>
            </w:r>
          </w:p>
        </w:tc>
        <w:tc>
          <w:tcPr>
            <w:tcW w:w="3990" w:type="dxa"/>
            <w:tcBorders>
              <w:top w:val="nil"/>
              <w:left w:val="single" w:sz="4" w:space="0" w:color="000000"/>
              <w:bottom w:val="single" w:sz="4" w:space="0" w:color="000000"/>
              <w:right w:val="nil"/>
            </w:tcBorders>
            <w:hideMark/>
          </w:tcPr>
          <w:p w:rsidR="00701D81" w:rsidRPr="00427FBC" w:rsidRDefault="00421792" w:rsidP="00701D81">
            <w:pPr>
              <w:pStyle w:val="Nagwek4"/>
              <w:numPr>
                <w:ilvl w:val="3"/>
                <w:numId w:val="12"/>
              </w:numPr>
              <w:jc w:val="left"/>
              <w:rPr>
                <w:rFonts w:asciiTheme="minorHAnsi" w:hAnsiTheme="minorHAnsi"/>
                <w:sz w:val="18"/>
                <w:szCs w:val="18"/>
              </w:rPr>
            </w:pPr>
            <w:r w:rsidRPr="00421792">
              <w:rPr>
                <w:rFonts w:asciiTheme="minorHAnsi" w:hAnsiTheme="minorHAnsi" w:cs="Tahoma"/>
                <w:sz w:val="18"/>
                <w:szCs w:val="18"/>
              </w:rPr>
              <w:t xml:space="preserve">Pobyt w Szpitalu </w:t>
            </w:r>
            <w:r w:rsidR="00701D81" w:rsidRPr="00427FBC">
              <w:rPr>
                <w:rFonts w:asciiTheme="minorHAnsi" w:hAnsiTheme="minorHAnsi" w:cs="Tahoma"/>
                <w:sz w:val="18"/>
                <w:szCs w:val="18"/>
              </w:rPr>
              <w:t>Ubezpieczonego (zakres ro</w:t>
            </w:r>
            <w:r>
              <w:rPr>
                <w:rFonts w:asciiTheme="minorHAnsi" w:hAnsiTheme="minorHAnsi" w:cs="Tahoma"/>
                <w:sz w:val="18"/>
                <w:szCs w:val="18"/>
              </w:rPr>
              <w:t>zszerzony) wskutek zawału serca lub</w:t>
            </w:r>
            <w:r w:rsidR="00701D81" w:rsidRPr="00427FBC">
              <w:rPr>
                <w:rFonts w:asciiTheme="minorHAnsi" w:hAnsiTheme="minorHAnsi" w:cs="Tahoma"/>
                <w:sz w:val="18"/>
                <w:szCs w:val="18"/>
              </w:rPr>
              <w:t xml:space="preserve"> udaru mózgu - kwota za dzień pobytu</w:t>
            </w:r>
          </w:p>
        </w:tc>
        <w:tc>
          <w:tcPr>
            <w:tcW w:w="1039" w:type="dxa"/>
            <w:tcBorders>
              <w:top w:val="single" w:sz="4" w:space="0" w:color="000000"/>
              <w:left w:val="single" w:sz="4" w:space="0" w:color="000000"/>
              <w:bottom w:val="single" w:sz="4" w:space="0" w:color="000000"/>
              <w:right w:val="single" w:sz="4" w:space="0" w:color="000000"/>
            </w:tcBorders>
            <w:vAlign w:val="center"/>
          </w:tcPr>
          <w:p w:rsidR="00701D81" w:rsidRPr="00841EF8" w:rsidRDefault="00701D81" w:rsidP="00235B4C">
            <w:pPr>
              <w:suppressAutoHyphens/>
              <w:jc w:val="center"/>
              <w:rPr>
                <w:rFonts w:cs="Tahoma"/>
                <w:b/>
                <w:sz w:val="18"/>
                <w:szCs w:val="18"/>
              </w:rPr>
            </w:pPr>
            <w:r w:rsidRPr="00841EF8">
              <w:rPr>
                <w:rFonts w:cs="Tahoma"/>
                <w:b/>
                <w:sz w:val="18"/>
                <w:szCs w:val="18"/>
              </w:rPr>
              <w:t>93</w:t>
            </w:r>
          </w:p>
        </w:tc>
        <w:tc>
          <w:tcPr>
            <w:tcW w:w="1039" w:type="dxa"/>
            <w:tcBorders>
              <w:top w:val="single" w:sz="4" w:space="0" w:color="000000"/>
              <w:left w:val="single" w:sz="4" w:space="0" w:color="000000"/>
              <w:bottom w:val="single" w:sz="4" w:space="0" w:color="000000"/>
              <w:right w:val="nil"/>
            </w:tcBorders>
            <w:vAlign w:val="center"/>
          </w:tcPr>
          <w:p w:rsidR="00701D81" w:rsidRPr="00E423F6" w:rsidRDefault="00995C85" w:rsidP="00235B4C">
            <w:pPr>
              <w:suppressAutoHyphens/>
              <w:jc w:val="center"/>
              <w:rPr>
                <w:b/>
                <w:sz w:val="18"/>
                <w:szCs w:val="18"/>
                <w:lang w:eastAsia="zh-CN"/>
              </w:rPr>
            </w:pPr>
            <w:r w:rsidRPr="00E423F6">
              <w:rPr>
                <w:b/>
                <w:sz w:val="18"/>
                <w:szCs w:val="18"/>
                <w:lang w:eastAsia="zh-CN"/>
              </w:rPr>
              <w:t>98,50</w:t>
            </w:r>
          </w:p>
        </w:tc>
        <w:tc>
          <w:tcPr>
            <w:tcW w:w="1040" w:type="dxa"/>
            <w:tcBorders>
              <w:top w:val="single" w:sz="4" w:space="0" w:color="000000"/>
              <w:left w:val="single" w:sz="4" w:space="0" w:color="000000"/>
              <w:bottom w:val="single" w:sz="4" w:space="0" w:color="000000"/>
              <w:right w:val="single" w:sz="4" w:space="0" w:color="000000"/>
            </w:tcBorders>
            <w:vAlign w:val="center"/>
          </w:tcPr>
          <w:p w:rsidR="00701D81" w:rsidRPr="00D25FEE" w:rsidRDefault="004B424B" w:rsidP="00235B4C">
            <w:pPr>
              <w:suppressAutoHyphens/>
              <w:snapToGrid w:val="0"/>
              <w:jc w:val="center"/>
              <w:rPr>
                <w:rFonts w:ascii="Calibri" w:hAnsi="Calibri" w:cs="Calibri"/>
                <w:b/>
                <w:sz w:val="18"/>
                <w:szCs w:val="18"/>
                <w:lang w:eastAsia="zh-CN"/>
              </w:rPr>
            </w:pPr>
            <w:r w:rsidRPr="00D25FEE">
              <w:rPr>
                <w:rFonts w:ascii="Calibri" w:hAnsi="Calibri" w:cs="Calibri"/>
                <w:b/>
                <w:sz w:val="18"/>
                <w:szCs w:val="18"/>
                <w:lang w:eastAsia="zh-CN"/>
              </w:rPr>
              <w:t>150</w:t>
            </w:r>
          </w:p>
        </w:tc>
        <w:tc>
          <w:tcPr>
            <w:tcW w:w="992" w:type="dxa"/>
            <w:tcBorders>
              <w:top w:val="single" w:sz="4" w:space="0" w:color="000000"/>
              <w:left w:val="single" w:sz="4" w:space="0" w:color="000000"/>
              <w:bottom w:val="single" w:sz="4" w:space="0" w:color="000000"/>
              <w:right w:val="single" w:sz="4" w:space="0" w:color="000000"/>
            </w:tcBorders>
            <w:vAlign w:val="center"/>
          </w:tcPr>
          <w:p w:rsidR="00701D81" w:rsidRDefault="005D1495" w:rsidP="00235B4C">
            <w:pPr>
              <w:suppressAutoHyphens/>
              <w:snapToGrid w:val="0"/>
              <w:jc w:val="center"/>
              <w:rPr>
                <w:rFonts w:ascii="Calibri" w:hAnsi="Calibri" w:cs="Calibri"/>
                <w:sz w:val="24"/>
                <w:szCs w:val="24"/>
                <w:lang w:eastAsia="zh-CN"/>
              </w:rPr>
            </w:pPr>
            <w:r>
              <w:rPr>
                <w:rFonts w:ascii="Calibri" w:hAnsi="Calibri" w:cs="Calibri"/>
                <w:sz w:val="24"/>
                <w:szCs w:val="24"/>
                <w:lang w:eastAsia="zh-CN"/>
              </w:rPr>
              <w:t>1</w:t>
            </w:r>
          </w:p>
        </w:tc>
      </w:tr>
      <w:tr w:rsidR="00701D81" w:rsidTr="003A12D4">
        <w:trPr>
          <w:trHeight w:val="328"/>
          <w:jc w:val="center"/>
        </w:trPr>
        <w:tc>
          <w:tcPr>
            <w:tcW w:w="440" w:type="dxa"/>
            <w:tcBorders>
              <w:top w:val="single" w:sz="4" w:space="0" w:color="000000"/>
              <w:left w:val="single" w:sz="4" w:space="0" w:color="000000"/>
              <w:bottom w:val="single" w:sz="4" w:space="0" w:color="000000"/>
              <w:right w:val="nil"/>
            </w:tcBorders>
            <w:vAlign w:val="center"/>
          </w:tcPr>
          <w:p w:rsidR="00701D81" w:rsidRPr="00701D81" w:rsidRDefault="00E423F6" w:rsidP="003A12D4">
            <w:pPr>
              <w:suppressAutoHyphens/>
              <w:jc w:val="center"/>
              <w:rPr>
                <w:sz w:val="18"/>
                <w:szCs w:val="18"/>
                <w:lang w:eastAsia="zh-CN"/>
              </w:rPr>
            </w:pPr>
            <w:r>
              <w:rPr>
                <w:rFonts w:cs="Tahoma"/>
                <w:bCs/>
                <w:sz w:val="18"/>
                <w:szCs w:val="18"/>
              </w:rPr>
              <w:t>20</w:t>
            </w:r>
          </w:p>
        </w:tc>
        <w:tc>
          <w:tcPr>
            <w:tcW w:w="3990" w:type="dxa"/>
            <w:tcBorders>
              <w:top w:val="single" w:sz="4" w:space="0" w:color="000000"/>
              <w:left w:val="single" w:sz="4" w:space="0" w:color="000000"/>
              <w:bottom w:val="single" w:sz="4" w:space="0" w:color="000000"/>
              <w:right w:val="nil"/>
            </w:tcBorders>
            <w:hideMark/>
          </w:tcPr>
          <w:p w:rsidR="00701D81" w:rsidRPr="00427FBC" w:rsidRDefault="00701D81" w:rsidP="00701D81">
            <w:pPr>
              <w:pStyle w:val="Nagwek4"/>
              <w:numPr>
                <w:ilvl w:val="3"/>
                <w:numId w:val="12"/>
              </w:numPr>
              <w:jc w:val="left"/>
              <w:rPr>
                <w:rFonts w:asciiTheme="minorHAnsi" w:hAnsiTheme="minorHAnsi"/>
                <w:sz w:val="18"/>
                <w:szCs w:val="18"/>
              </w:rPr>
            </w:pPr>
            <w:r w:rsidRPr="00427FBC">
              <w:rPr>
                <w:rFonts w:asciiTheme="minorHAnsi" w:hAnsiTheme="minorHAnsi" w:cs="Tahoma"/>
                <w:sz w:val="18"/>
                <w:szCs w:val="18"/>
              </w:rPr>
              <w:t xml:space="preserve">Pobyt Ubezpieczonego na OIOM </w:t>
            </w:r>
            <w:r>
              <w:rPr>
                <w:rFonts w:asciiTheme="minorHAnsi" w:hAnsiTheme="minorHAnsi" w:cs="Tahoma"/>
                <w:sz w:val="18"/>
                <w:szCs w:val="18"/>
              </w:rPr>
              <w:t>–zasiłek jednorazowy</w:t>
            </w:r>
          </w:p>
        </w:tc>
        <w:tc>
          <w:tcPr>
            <w:tcW w:w="1039" w:type="dxa"/>
            <w:tcBorders>
              <w:top w:val="single" w:sz="4" w:space="0" w:color="000000"/>
              <w:left w:val="single" w:sz="4" w:space="0" w:color="000000"/>
              <w:bottom w:val="single" w:sz="4" w:space="0" w:color="000000"/>
              <w:right w:val="single" w:sz="4" w:space="0" w:color="000000"/>
            </w:tcBorders>
            <w:vAlign w:val="center"/>
          </w:tcPr>
          <w:p w:rsidR="00701D81" w:rsidRPr="00841EF8" w:rsidRDefault="00701D81" w:rsidP="00235B4C">
            <w:pPr>
              <w:suppressAutoHyphens/>
              <w:jc w:val="center"/>
              <w:rPr>
                <w:rFonts w:cs="Tahoma"/>
                <w:b/>
                <w:sz w:val="18"/>
                <w:szCs w:val="18"/>
              </w:rPr>
            </w:pPr>
            <w:r w:rsidRPr="00841EF8">
              <w:rPr>
                <w:rFonts w:cs="Tahoma"/>
                <w:b/>
                <w:sz w:val="18"/>
                <w:szCs w:val="18"/>
              </w:rPr>
              <w:t>600</w:t>
            </w:r>
          </w:p>
        </w:tc>
        <w:tc>
          <w:tcPr>
            <w:tcW w:w="1039" w:type="dxa"/>
            <w:tcBorders>
              <w:top w:val="single" w:sz="4" w:space="0" w:color="000000"/>
              <w:left w:val="single" w:sz="4" w:space="0" w:color="000000"/>
              <w:bottom w:val="single" w:sz="4" w:space="0" w:color="000000"/>
              <w:right w:val="nil"/>
            </w:tcBorders>
            <w:vAlign w:val="center"/>
          </w:tcPr>
          <w:p w:rsidR="00701D81" w:rsidRPr="00E423F6" w:rsidRDefault="00995C85" w:rsidP="00235B4C">
            <w:pPr>
              <w:suppressAutoHyphens/>
              <w:jc w:val="center"/>
              <w:rPr>
                <w:b/>
                <w:sz w:val="18"/>
                <w:szCs w:val="18"/>
                <w:lang w:eastAsia="zh-CN"/>
              </w:rPr>
            </w:pPr>
            <w:r w:rsidRPr="00E423F6">
              <w:rPr>
                <w:b/>
                <w:sz w:val="18"/>
                <w:szCs w:val="18"/>
                <w:lang w:eastAsia="zh-CN"/>
              </w:rPr>
              <w:t>650</w:t>
            </w:r>
          </w:p>
        </w:tc>
        <w:tc>
          <w:tcPr>
            <w:tcW w:w="1040" w:type="dxa"/>
            <w:tcBorders>
              <w:top w:val="single" w:sz="4" w:space="0" w:color="000000"/>
              <w:left w:val="single" w:sz="4" w:space="0" w:color="000000"/>
              <w:bottom w:val="single" w:sz="4" w:space="0" w:color="000000"/>
              <w:right w:val="single" w:sz="4" w:space="0" w:color="000000"/>
            </w:tcBorders>
            <w:vAlign w:val="center"/>
          </w:tcPr>
          <w:p w:rsidR="00701D81" w:rsidRPr="00D25FEE" w:rsidRDefault="004B424B" w:rsidP="00235B4C">
            <w:pPr>
              <w:suppressAutoHyphens/>
              <w:snapToGrid w:val="0"/>
              <w:jc w:val="center"/>
              <w:rPr>
                <w:rFonts w:ascii="Calibri" w:hAnsi="Calibri" w:cs="Calibri"/>
                <w:b/>
                <w:sz w:val="18"/>
                <w:szCs w:val="18"/>
                <w:lang w:eastAsia="zh-CN"/>
              </w:rPr>
            </w:pPr>
            <w:r w:rsidRPr="00D25FEE">
              <w:rPr>
                <w:rFonts w:ascii="Calibri" w:hAnsi="Calibri" w:cs="Calibri"/>
                <w:b/>
                <w:sz w:val="18"/>
                <w:szCs w:val="18"/>
                <w:lang w:eastAsia="zh-CN"/>
              </w:rPr>
              <w:t>750</w:t>
            </w:r>
          </w:p>
        </w:tc>
        <w:tc>
          <w:tcPr>
            <w:tcW w:w="992" w:type="dxa"/>
            <w:tcBorders>
              <w:top w:val="single" w:sz="4" w:space="0" w:color="000000"/>
              <w:left w:val="single" w:sz="4" w:space="0" w:color="000000"/>
              <w:bottom w:val="single" w:sz="4" w:space="0" w:color="000000"/>
              <w:right w:val="single" w:sz="4" w:space="0" w:color="000000"/>
            </w:tcBorders>
            <w:vAlign w:val="center"/>
          </w:tcPr>
          <w:p w:rsidR="00701D81" w:rsidRDefault="005D1495" w:rsidP="00235B4C">
            <w:pPr>
              <w:suppressAutoHyphens/>
              <w:snapToGrid w:val="0"/>
              <w:jc w:val="center"/>
              <w:rPr>
                <w:rFonts w:ascii="Calibri" w:hAnsi="Calibri" w:cs="Calibri"/>
                <w:sz w:val="24"/>
                <w:szCs w:val="24"/>
                <w:lang w:eastAsia="zh-CN"/>
              </w:rPr>
            </w:pPr>
            <w:r>
              <w:rPr>
                <w:rFonts w:ascii="Calibri" w:hAnsi="Calibri" w:cs="Calibri"/>
                <w:sz w:val="24"/>
                <w:szCs w:val="24"/>
                <w:lang w:eastAsia="zh-CN"/>
              </w:rPr>
              <w:t>1</w:t>
            </w:r>
          </w:p>
        </w:tc>
      </w:tr>
      <w:tr w:rsidR="00701D81" w:rsidTr="003A12D4">
        <w:trPr>
          <w:cantSplit/>
          <w:trHeight w:val="737"/>
          <w:jc w:val="center"/>
        </w:trPr>
        <w:tc>
          <w:tcPr>
            <w:tcW w:w="440" w:type="dxa"/>
            <w:tcBorders>
              <w:top w:val="nil"/>
              <w:left w:val="single" w:sz="4" w:space="0" w:color="000000"/>
              <w:bottom w:val="single" w:sz="4" w:space="0" w:color="000000"/>
              <w:right w:val="nil"/>
            </w:tcBorders>
            <w:vAlign w:val="center"/>
          </w:tcPr>
          <w:p w:rsidR="00701D81" w:rsidRPr="00427FBC" w:rsidRDefault="00E423F6" w:rsidP="003A12D4">
            <w:pPr>
              <w:suppressAutoHyphens/>
              <w:jc w:val="center"/>
              <w:rPr>
                <w:sz w:val="18"/>
                <w:szCs w:val="18"/>
                <w:lang w:eastAsia="zh-CN"/>
              </w:rPr>
            </w:pPr>
            <w:r>
              <w:rPr>
                <w:rFonts w:cs="Tahoma"/>
                <w:sz w:val="18"/>
                <w:szCs w:val="18"/>
              </w:rPr>
              <w:t>21</w:t>
            </w:r>
          </w:p>
        </w:tc>
        <w:tc>
          <w:tcPr>
            <w:tcW w:w="3990" w:type="dxa"/>
            <w:tcBorders>
              <w:top w:val="nil"/>
              <w:left w:val="single" w:sz="4" w:space="0" w:color="000000"/>
              <w:bottom w:val="single" w:sz="4" w:space="0" w:color="000000"/>
              <w:right w:val="nil"/>
            </w:tcBorders>
            <w:hideMark/>
          </w:tcPr>
          <w:p w:rsidR="00701D81" w:rsidRPr="00427FBC" w:rsidRDefault="00701D81" w:rsidP="00701D81">
            <w:pPr>
              <w:pStyle w:val="Nagwek4"/>
              <w:numPr>
                <w:ilvl w:val="3"/>
                <w:numId w:val="12"/>
              </w:numPr>
              <w:jc w:val="left"/>
              <w:rPr>
                <w:rFonts w:asciiTheme="minorHAnsi" w:hAnsiTheme="minorHAnsi"/>
                <w:sz w:val="18"/>
                <w:szCs w:val="18"/>
              </w:rPr>
            </w:pPr>
            <w:r w:rsidRPr="00427FBC">
              <w:rPr>
                <w:rFonts w:asciiTheme="minorHAnsi" w:hAnsiTheme="minorHAnsi" w:cs="Tahoma"/>
                <w:sz w:val="18"/>
                <w:szCs w:val="18"/>
              </w:rPr>
              <w:t>Rekonwalescencja Ubezpieczonego – kwota za dzień pobytu</w:t>
            </w:r>
          </w:p>
        </w:tc>
        <w:tc>
          <w:tcPr>
            <w:tcW w:w="1039" w:type="dxa"/>
            <w:tcBorders>
              <w:top w:val="single" w:sz="4" w:space="0" w:color="000000"/>
              <w:left w:val="single" w:sz="4" w:space="0" w:color="000000"/>
              <w:bottom w:val="single" w:sz="4" w:space="0" w:color="000000"/>
              <w:right w:val="single" w:sz="4" w:space="0" w:color="000000"/>
            </w:tcBorders>
            <w:vAlign w:val="center"/>
          </w:tcPr>
          <w:p w:rsidR="00701D81" w:rsidRPr="00841EF8" w:rsidRDefault="00701D81" w:rsidP="003A12D4">
            <w:pPr>
              <w:suppressAutoHyphens/>
              <w:jc w:val="center"/>
              <w:rPr>
                <w:rFonts w:cs="Tahoma"/>
                <w:b/>
                <w:sz w:val="18"/>
                <w:szCs w:val="18"/>
              </w:rPr>
            </w:pPr>
            <w:r w:rsidRPr="00841EF8">
              <w:rPr>
                <w:rFonts w:cs="Tahoma"/>
                <w:b/>
                <w:sz w:val="18"/>
                <w:szCs w:val="18"/>
              </w:rPr>
              <w:t>30</w:t>
            </w:r>
          </w:p>
        </w:tc>
        <w:tc>
          <w:tcPr>
            <w:tcW w:w="1039" w:type="dxa"/>
            <w:tcBorders>
              <w:top w:val="single" w:sz="4" w:space="0" w:color="000000"/>
              <w:left w:val="single" w:sz="4" w:space="0" w:color="000000"/>
              <w:bottom w:val="single" w:sz="4" w:space="0" w:color="000000"/>
              <w:right w:val="nil"/>
            </w:tcBorders>
            <w:vAlign w:val="center"/>
          </w:tcPr>
          <w:p w:rsidR="00701D81" w:rsidRPr="00E423F6" w:rsidRDefault="00995C85" w:rsidP="00235B4C">
            <w:pPr>
              <w:suppressAutoHyphens/>
              <w:jc w:val="center"/>
              <w:rPr>
                <w:b/>
                <w:sz w:val="18"/>
                <w:szCs w:val="18"/>
                <w:lang w:eastAsia="zh-CN"/>
              </w:rPr>
            </w:pPr>
            <w:r w:rsidRPr="00E423F6">
              <w:rPr>
                <w:b/>
                <w:sz w:val="18"/>
                <w:szCs w:val="18"/>
                <w:lang w:eastAsia="zh-CN"/>
              </w:rPr>
              <w:t>34</w:t>
            </w:r>
          </w:p>
        </w:tc>
        <w:tc>
          <w:tcPr>
            <w:tcW w:w="1040" w:type="dxa"/>
            <w:tcBorders>
              <w:top w:val="single" w:sz="4" w:space="0" w:color="000000"/>
              <w:left w:val="single" w:sz="4" w:space="0" w:color="000000"/>
              <w:bottom w:val="single" w:sz="4" w:space="0" w:color="000000"/>
              <w:right w:val="single" w:sz="4" w:space="0" w:color="000000"/>
            </w:tcBorders>
            <w:vAlign w:val="center"/>
          </w:tcPr>
          <w:p w:rsidR="00701D81" w:rsidRPr="00D25FEE" w:rsidRDefault="004B424B" w:rsidP="00235B4C">
            <w:pPr>
              <w:suppressAutoHyphens/>
              <w:snapToGrid w:val="0"/>
              <w:jc w:val="center"/>
              <w:rPr>
                <w:rFonts w:ascii="Calibri" w:hAnsi="Calibri" w:cs="Calibri"/>
                <w:b/>
                <w:sz w:val="18"/>
                <w:szCs w:val="18"/>
                <w:lang w:eastAsia="zh-CN"/>
              </w:rPr>
            </w:pPr>
            <w:r w:rsidRPr="00D25FEE">
              <w:rPr>
                <w:rFonts w:ascii="Calibri" w:hAnsi="Calibri" w:cs="Calibri"/>
                <w:b/>
                <w:sz w:val="18"/>
                <w:szCs w:val="18"/>
                <w:lang w:eastAsia="zh-CN"/>
              </w:rPr>
              <w:t>35</w:t>
            </w:r>
          </w:p>
        </w:tc>
        <w:tc>
          <w:tcPr>
            <w:tcW w:w="992" w:type="dxa"/>
            <w:tcBorders>
              <w:top w:val="single" w:sz="4" w:space="0" w:color="000000"/>
              <w:left w:val="single" w:sz="4" w:space="0" w:color="000000"/>
              <w:bottom w:val="single" w:sz="4" w:space="0" w:color="000000"/>
              <w:right w:val="single" w:sz="4" w:space="0" w:color="000000"/>
            </w:tcBorders>
            <w:vAlign w:val="center"/>
          </w:tcPr>
          <w:p w:rsidR="00701D81" w:rsidRDefault="005D1495" w:rsidP="00235B4C">
            <w:pPr>
              <w:suppressAutoHyphens/>
              <w:snapToGrid w:val="0"/>
              <w:jc w:val="center"/>
              <w:rPr>
                <w:rFonts w:ascii="Calibri" w:hAnsi="Calibri" w:cs="Calibri"/>
                <w:sz w:val="24"/>
                <w:szCs w:val="24"/>
                <w:lang w:eastAsia="zh-CN"/>
              </w:rPr>
            </w:pPr>
            <w:r>
              <w:rPr>
                <w:rFonts w:ascii="Calibri" w:hAnsi="Calibri" w:cs="Calibri"/>
                <w:sz w:val="24"/>
                <w:szCs w:val="24"/>
                <w:lang w:eastAsia="zh-CN"/>
              </w:rPr>
              <w:t>1</w:t>
            </w:r>
          </w:p>
        </w:tc>
      </w:tr>
      <w:tr w:rsidR="00701D81" w:rsidTr="003A12D4">
        <w:trPr>
          <w:cantSplit/>
          <w:trHeight w:val="507"/>
          <w:jc w:val="center"/>
        </w:trPr>
        <w:tc>
          <w:tcPr>
            <w:tcW w:w="440" w:type="dxa"/>
            <w:tcBorders>
              <w:top w:val="nil"/>
              <w:left w:val="single" w:sz="4" w:space="0" w:color="000000"/>
              <w:bottom w:val="single" w:sz="4" w:space="0" w:color="000000"/>
              <w:right w:val="nil"/>
            </w:tcBorders>
            <w:vAlign w:val="center"/>
          </w:tcPr>
          <w:p w:rsidR="00701D81" w:rsidRPr="00427FBC" w:rsidRDefault="00E423F6" w:rsidP="003A12D4">
            <w:pPr>
              <w:suppressAutoHyphens/>
              <w:jc w:val="center"/>
              <w:rPr>
                <w:sz w:val="18"/>
                <w:szCs w:val="18"/>
                <w:lang w:eastAsia="zh-CN"/>
              </w:rPr>
            </w:pPr>
            <w:r>
              <w:rPr>
                <w:rFonts w:cs="Tahoma"/>
                <w:sz w:val="18"/>
                <w:szCs w:val="18"/>
              </w:rPr>
              <w:t>22</w:t>
            </w:r>
          </w:p>
        </w:tc>
        <w:tc>
          <w:tcPr>
            <w:tcW w:w="3990" w:type="dxa"/>
            <w:tcBorders>
              <w:top w:val="nil"/>
              <w:left w:val="single" w:sz="4" w:space="0" w:color="000000"/>
              <w:bottom w:val="single" w:sz="4" w:space="0" w:color="000000"/>
              <w:right w:val="nil"/>
            </w:tcBorders>
          </w:tcPr>
          <w:p w:rsidR="00701D81" w:rsidRPr="00427FBC" w:rsidRDefault="00701D81" w:rsidP="00701D81">
            <w:pPr>
              <w:pStyle w:val="Nagwek4"/>
              <w:numPr>
                <w:ilvl w:val="3"/>
                <w:numId w:val="12"/>
              </w:numPr>
              <w:jc w:val="left"/>
              <w:rPr>
                <w:rFonts w:asciiTheme="minorHAnsi" w:hAnsiTheme="minorHAnsi" w:cs="Tahoma"/>
                <w:sz w:val="18"/>
                <w:szCs w:val="18"/>
              </w:rPr>
            </w:pPr>
            <w:r>
              <w:rPr>
                <w:rFonts w:asciiTheme="minorHAnsi" w:hAnsiTheme="minorHAnsi" w:cs="Tahoma"/>
                <w:sz w:val="18"/>
                <w:szCs w:val="18"/>
              </w:rPr>
              <w:t>Karta apteczna – kwota zasiłku jednorazowego</w:t>
            </w:r>
          </w:p>
        </w:tc>
        <w:tc>
          <w:tcPr>
            <w:tcW w:w="1039" w:type="dxa"/>
            <w:tcBorders>
              <w:top w:val="single" w:sz="4" w:space="0" w:color="000000"/>
              <w:left w:val="single" w:sz="4" w:space="0" w:color="000000"/>
              <w:bottom w:val="single" w:sz="4" w:space="0" w:color="000000"/>
              <w:right w:val="single" w:sz="4" w:space="0" w:color="000000"/>
            </w:tcBorders>
            <w:vAlign w:val="center"/>
          </w:tcPr>
          <w:p w:rsidR="00701D81" w:rsidRPr="00841EF8" w:rsidRDefault="00701D81" w:rsidP="00235B4C">
            <w:pPr>
              <w:suppressAutoHyphens/>
              <w:jc w:val="center"/>
              <w:rPr>
                <w:rFonts w:cs="Tahoma"/>
                <w:b/>
                <w:sz w:val="18"/>
                <w:szCs w:val="18"/>
              </w:rPr>
            </w:pPr>
            <w:r w:rsidRPr="00841EF8">
              <w:rPr>
                <w:rFonts w:cs="Tahoma"/>
                <w:b/>
                <w:sz w:val="18"/>
                <w:szCs w:val="18"/>
              </w:rPr>
              <w:t>200</w:t>
            </w:r>
          </w:p>
        </w:tc>
        <w:tc>
          <w:tcPr>
            <w:tcW w:w="1039" w:type="dxa"/>
            <w:tcBorders>
              <w:top w:val="single" w:sz="4" w:space="0" w:color="000000"/>
              <w:left w:val="single" w:sz="4" w:space="0" w:color="000000"/>
              <w:bottom w:val="single" w:sz="4" w:space="0" w:color="000000"/>
              <w:right w:val="nil"/>
            </w:tcBorders>
            <w:vAlign w:val="center"/>
          </w:tcPr>
          <w:p w:rsidR="00701D81" w:rsidRPr="00E423F6" w:rsidRDefault="00995C85" w:rsidP="00235B4C">
            <w:pPr>
              <w:suppressAutoHyphens/>
              <w:jc w:val="center"/>
              <w:rPr>
                <w:b/>
                <w:sz w:val="18"/>
                <w:szCs w:val="18"/>
                <w:lang w:eastAsia="zh-CN"/>
              </w:rPr>
            </w:pPr>
            <w:r w:rsidRPr="00E423F6">
              <w:rPr>
                <w:b/>
                <w:sz w:val="18"/>
                <w:szCs w:val="18"/>
                <w:lang w:eastAsia="zh-CN"/>
              </w:rPr>
              <w:t>210</w:t>
            </w:r>
          </w:p>
        </w:tc>
        <w:tc>
          <w:tcPr>
            <w:tcW w:w="1040" w:type="dxa"/>
            <w:tcBorders>
              <w:top w:val="single" w:sz="4" w:space="0" w:color="000000"/>
              <w:left w:val="single" w:sz="4" w:space="0" w:color="000000"/>
              <w:bottom w:val="single" w:sz="4" w:space="0" w:color="000000"/>
              <w:right w:val="single" w:sz="4" w:space="0" w:color="000000"/>
            </w:tcBorders>
            <w:vAlign w:val="center"/>
          </w:tcPr>
          <w:p w:rsidR="00701D81" w:rsidRPr="00D25FEE" w:rsidRDefault="004B424B" w:rsidP="00235B4C">
            <w:pPr>
              <w:suppressAutoHyphens/>
              <w:snapToGrid w:val="0"/>
              <w:jc w:val="center"/>
              <w:rPr>
                <w:rFonts w:ascii="Calibri" w:hAnsi="Calibri" w:cs="Calibri"/>
                <w:b/>
                <w:sz w:val="18"/>
                <w:szCs w:val="18"/>
                <w:lang w:eastAsia="zh-CN"/>
              </w:rPr>
            </w:pPr>
            <w:r w:rsidRPr="00D25FEE">
              <w:rPr>
                <w:rFonts w:ascii="Calibri" w:hAnsi="Calibri" w:cs="Calibri"/>
                <w:b/>
                <w:sz w:val="18"/>
                <w:szCs w:val="18"/>
                <w:lang w:eastAsia="zh-CN"/>
              </w:rPr>
              <w:t>300</w:t>
            </w:r>
          </w:p>
        </w:tc>
        <w:tc>
          <w:tcPr>
            <w:tcW w:w="992" w:type="dxa"/>
            <w:tcBorders>
              <w:top w:val="single" w:sz="4" w:space="0" w:color="000000"/>
              <w:left w:val="single" w:sz="4" w:space="0" w:color="000000"/>
              <w:bottom w:val="single" w:sz="4" w:space="0" w:color="000000"/>
              <w:right w:val="single" w:sz="4" w:space="0" w:color="000000"/>
            </w:tcBorders>
            <w:vAlign w:val="center"/>
          </w:tcPr>
          <w:p w:rsidR="00701D81" w:rsidRDefault="005D1495" w:rsidP="00235B4C">
            <w:pPr>
              <w:suppressAutoHyphens/>
              <w:snapToGrid w:val="0"/>
              <w:jc w:val="center"/>
              <w:rPr>
                <w:rFonts w:ascii="Calibri" w:hAnsi="Calibri" w:cs="Calibri"/>
                <w:sz w:val="24"/>
                <w:szCs w:val="24"/>
                <w:lang w:eastAsia="zh-CN"/>
              </w:rPr>
            </w:pPr>
            <w:r>
              <w:rPr>
                <w:rFonts w:ascii="Calibri" w:hAnsi="Calibri" w:cs="Calibri"/>
                <w:sz w:val="24"/>
                <w:szCs w:val="24"/>
                <w:lang w:eastAsia="zh-CN"/>
              </w:rPr>
              <w:t>1</w:t>
            </w:r>
          </w:p>
        </w:tc>
      </w:tr>
      <w:tr w:rsidR="00701D81" w:rsidTr="003A12D4">
        <w:trPr>
          <w:cantSplit/>
          <w:trHeight w:val="328"/>
          <w:jc w:val="center"/>
        </w:trPr>
        <w:tc>
          <w:tcPr>
            <w:tcW w:w="440" w:type="dxa"/>
            <w:tcBorders>
              <w:top w:val="single" w:sz="4" w:space="0" w:color="000000"/>
              <w:left w:val="single" w:sz="4" w:space="0" w:color="000000"/>
              <w:bottom w:val="single" w:sz="4" w:space="0" w:color="000000"/>
              <w:right w:val="nil"/>
            </w:tcBorders>
            <w:vAlign w:val="center"/>
          </w:tcPr>
          <w:p w:rsidR="00701D81" w:rsidRPr="00427FBC" w:rsidRDefault="00701D81" w:rsidP="003A12D4">
            <w:pPr>
              <w:suppressAutoHyphens/>
              <w:jc w:val="center"/>
              <w:rPr>
                <w:sz w:val="18"/>
                <w:szCs w:val="18"/>
                <w:lang w:eastAsia="zh-CN"/>
              </w:rPr>
            </w:pPr>
          </w:p>
        </w:tc>
        <w:tc>
          <w:tcPr>
            <w:tcW w:w="3990" w:type="dxa"/>
            <w:tcBorders>
              <w:top w:val="single" w:sz="4" w:space="0" w:color="000000"/>
              <w:left w:val="single" w:sz="4" w:space="0" w:color="000000"/>
              <w:bottom w:val="single" w:sz="4" w:space="0" w:color="000000"/>
              <w:right w:val="nil"/>
            </w:tcBorders>
            <w:hideMark/>
          </w:tcPr>
          <w:p w:rsidR="00701D81" w:rsidRPr="00427FBC" w:rsidRDefault="00701D81" w:rsidP="0038268C">
            <w:pPr>
              <w:pStyle w:val="Nagwek4"/>
              <w:numPr>
                <w:ilvl w:val="3"/>
                <w:numId w:val="12"/>
              </w:numPr>
              <w:jc w:val="center"/>
              <w:rPr>
                <w:rFonts w:asciiTheme="minorHAnsi" w:hAnsiTheme="minorHAnsi"/>
                <w:sz w:val="18"/>
                <w:szCs w:val="18"/>
              </w:rPr>
            </w:pPr>
            <w:r w:rsidRPr="00427FBC">
              <w:rPr>
                <w:rFonts w:asciiTheme="minorHAnsi" w:hAnsiTheme="minorHAnsi" w:cs="Tahoma"/>
                <w:b/>
                <w:sz w:val="18"/>
                <w:szCs w:val="18"/>
              </w:rPr>
              <w:t>Świadczenia rodzinne</w:t>
            </w:r>
          </w:p>
        </w:tc>
        <w:tc>
          <w:tcPr>
            <w:tcW w:w="1039" w:type="dxa"/>
            <w:tcBorders>
              <w:top w:val="single" w:sz="4" w:space="0" w:color="000000"/>
              <w:left w:val="single" w:sz="4" w:space="0" w:color="000000"/>
              <w:bottom w:val="single" w:sz="4" w:space="0" w:color="000000"/>
              <w:right w:val="single" w:sz="4" w:space="0" w:color="000000"/>
            </w:tcBorders>
            <w:vAlign w:val="center"/>
          </w:tcPr>
          <w:p w:rsidR="00701D81" w:rsidRPr="00841EF8" w:rsidRDefault="00701D81" w:rsidP="00235B4C">
            <w:pPr>
              <w:suppressAutoHyphens/>
              <w:jc w:val="center"/>
              <w:rPr>
                <w:rFonts w:ascii="Calibri" w:hAnsi="Calibri" w:cs="Tahoma"/>
                <w:b/>
                <w:bCs/>
                <w:sz w:val="18"/>
                <w:szCs w:val="18"/>
              </w:rPr>
            </w:pPr>
            <w:r w:rsidRPr="00841EF8">
              <w:rPr>
                <w:rFonts w:ascii="Calibri" w:hAnsi="Calibri" w:cs="Tahoma"/>
                <w:b/>
                <w:bCs/>
                <w:sz w:val="18"/>
                <w:szCs w:val="18"/>
              </w:rPr>
              <w:t>Wariant I</w:t>
            </w:r>
          </w:p>
        </w:tc>
        <w:tc>
          <w:tcPr>
            <w:tcW w:w="1039" w:type="dxa"/>
            <w:tcBorders>
              <w:top w:val="single" w:sz="4" w:space="0" w:color="000000"/>
              <w:left w:val="single" w:sz="4" w:space="0" w:color="000000"/>
              <w:bottom w:val="single" w:sz="4" w:space="0" w:color="000000"/>
              <w:right w:val="nil"/>
            </w:tcBorders>
            <w:vAlign w:val="center"/>
            <w:hideMark/>
          </w:tcPr>
          <w:p w:rsidR="00701D81" w:rsidRPr="00E423F6" w:rsidRDefault="00701D81" w:rsidP="00235B4C">
            <w:pPr>
              <w:suppressAutoHyphens/>
              <w:jc w:val="center"/>
              <w:rPr>
                <w:rFonts w:ascii="Calibri" w:hAnsi="Calibri" w:cs="Tahoma"/>
                <w:b/>
                <w:bCs/>
                <w:sz w:val="18"/>
                <w:szCs w:val="18"/>
              </w:rPr>
            </w:pPr>
            <w:r w:rsidRPr="00E423F6">
              <w:rPr>
                <w:rFonts w:ascii="Calibri" w:hAnsi="Calibri" w:cs="Tahoma"/>
                <w:b/>
                <w:bCs/>
                <w:sz w:val="18"/>
                <w:szCs w:val="18"/>
              </w:rPr>
              <w:t>Wariant II</w:t>
            </w:r>
          </w:p>
        </w:tc>
        <w:tc>
          <w:tcPr>
            <w:tcW w:w="1040" w:type="dxa"/>
            <w:tcBorders>
              <w:top w:val="single" w:sz="4" w:space="0" w:color="000000"/>
              <w:left w:val="single" w:sz="4" w:space="0" w:color="000000"/>
              <w:bottom w:val="single" w:sz="4" w:space="0" w:color="000000"/>
              <w:right w:val="single" w:sz="4" w:space="0" w:color="000000"/>
            </w:tcBorders>
            <w:vAlign w:val="center"/>
          </w:tcPr>
          <w:p w:rsidR="00701D81" w:rsidRPr="00D25FEE" w:rsidRDefault="001D358D" w:rsidP="00235B4C">
            <w:pPr>
              <w:suppressAutoHyphens/>
              <w:snapToGrid w:val="0"/>
              <w:jc w:val="center"/>
              <w:rPr>
                <w:rFonts w:ascii="Calibri" w:hAnsi="Calibri" w:cs="Calibri"/>
                <w:b/>
                <w:sz w:val="18"/>
                <w:szCs w:val="18"/>
                <w:lang w:eastAsia="zh-CN"/>
              </w:rPr>
            </w:pPr>
            <w:r w:rsidRPr="00D25FEE">
              <w:rPr>
                <w:rFonts w:ascii="Calibri" w:hAnsi="Calibri" w:cs="Tahoma"/>
                <w:b/>
                <w:bCs/>
                <w:sz w:val="18"/>
                <w:szCs w:val="18"/>
              </w:rPr>
              <w:t>Wariant III</w:t>
            </w:r>
          </w:p>
        </w:tc>
        <w:tc>
          <w:tcPr>
            <w:tcW w:w="992" w:type="dxa"/>
            <w:tcBorders>
              <w:top w:val="single" w:sz="4" w:space="0" w:color="000000"/>
              <w:left w:val="single" w:sz="4" w:space="0" w:color="000000"/>
              <w:bottom w:val="single" w:sz="4" w:space="0" w:color="000000"/>
              <w:right w:val="single" w:sz="4" w:space="0" w:color="000000"/>
            </w:tcBorders>
            <w:vAlign w:val="center"/>
          </w:tcPr>
          <w:p w:rsidR="00701D81" w:rsidRDefault="00701D81" w:rsidP="00235B4C">
            <w:pPr>
              <w:suppressAutoHyphens/>
              <w:snapToGrid w:val="0"/>
              <w:jc w:val="center"/>
              <w:rPr>
                <w:rFonts w:ascii="Calibri" w:hAnsi="Calibri" w:cs="Calibri"/>
                <w:sz w:val="24"/>
                <w:szCs w:val="24"/>
                <w:lang w:eastAsia="zh-CN"/>
              </w:rPr>
            </w:pPr>
          </w:p>
        </w:tc>
      </w:tr>
      <w:tr w:rsidR="00701D81" w:rsidTr="003A12D4">
        <w:trPr>
          <w:cantSplit/>
          <w:trHeight w:val="328"/>
          <w:jc w:val="center"/>
        </w:trPr>
        <w:tc>
          <w:tcPr>
            <w:tcW w:w="440" w:type="dxa"/>
            <w:tcBorders>
              <w:top w:val="single" w:sz="4" w:space="0" w:color="000000"/>
              <w:left w:val="single" w:sz="4" w:space="0" w:color="000000"/>
              <w:bottom w:val="single" w:sz="4" w:space="0" w:color="000000"/>
              <w:right w:val="nil"/>
            </w:tcBorders>
            <w:vAlign w:val="center"/>
          </w:tcPr>
          <w:p w:rsidR="00701D81" w:rsidRPr="00427FBC" w:rsidRDefault="00701D81" w:rsidP="003A12D4">
            <w:pPr>
              <w:suppressAutoHyphens/>
              <w:jc w:val="center"/>
              <w:rPr>
                <w:sz w:val="18"/>
                <w:szCs w:val="18"/>
                <w:lang w:eastAsia="zh-CN"/>
              </w:rPr>
            </w:pPr>
            <w:r>
              <w:rPr>
                <w:rFonts w:cs="Tahoma"/>
                <w:bCs/>
                <w:sz w:val="18"/>
                <w:szCs w:val="18"/>
              </w:rPr>
              <w:t>1</w:t>
            </w:r>
          </w:p>
        </w:tc>
        <w:tc>
          <w:tcPr>
            <w:tcW w:w="3990" w:type="dxa"/>
            <w:tcBorders>
              <w:top w:val="single" w:sz="4" w:space="0" w:color="000000"/>
              <w:left w:val="single" w:sz="4" w:space="0" w:color="000000"/>
              <w:bottom w:val="single" w:sz="4" w:space="0" w:color="000000"/>
              <w:right w:val="nil"/>
            </w:tcBorders>
            <w:hideMark/>
          </w:tcPr>
          <w:p w:rsidR="00701D81" w:rsidRPr="00427FBC" w:rsidRDefault="00701D81" w:rsidP="00701D81">
            <w:pPr>
              <w:pStyle w:val="Nagwek4"/>
              <w:numPr>
                <w:ilvl w:val="3"/>
                <w:numId w:val="12"/>
              </w:numPr>
              <w:jc w:val="left"/>
              <w:rPr>
                <w:rFonts w:asciiTheme="minorHAnsi" w:hAnsiTheme="minorHAnsi"/>
                <w:sz w:val="18"/>
                <w:szCs w:val="18"/>
              </w:rPr>
            </w:pPr>
            <w:r w:rsidRPr="00427FBC">
              <w:rPr>
                <w:rFonts w:asciiTheme="minorHAnsi" w:hAnsiTheme="minorHAnsi" w:cs="Tahoma"/>
                <w:sz w:val="18"/>
                <w:szCs w:val="18"/>
              </w:rPr>
              <w:t>Śmierć małżonka</w:t>
            </w:r>
          </w:p>
        </w:tc>
        <w:tc>
          <w:tcPr>
            <w:tcW w:w="1039" w:type="dxa"/>
            <w:tcBorders>
              <w:top w:val="single" w:sz="4" w:space="0" w:color="000000"/>
              <w:left w:val="single" w:sz="4" w:space="0" w:color="000000"/>
              <w:bottom w:val="single" w:sz="4" w:space="0" w:color="000000"/>
              <w:right w:val="single" w:sz="4" w:space="0" w:color="000000"/>
            </w:tcBorders>
            <w:vAlign w:val="center"/>
          </w:tcPr>
          <w:p w:rsidR="00701D81" w:rsidRPr="00841EF8" w:rsidRDefault="00701D81" w:rsidP="00235B4C">
            <w:pPr>
              <w:suppressAutoHyphens/>
              <w:jc w:val="center"/>
              <w:rPr>
                <w:rFonts w:cs="Tahoma"/>
                <w:b/>
                <w:sz w:val="18"/>
                <w:szCs w:val="18"/>
              </w:rPr>
            </w:pPr>
            <w:r w:rsidRPr="00841EF8">
              <w:rPr>
                <w:rFonts w:cs="Tahoma"/>
                <w:b/>
                <w:sz w:val="18"/>
                <w:szCs w:val="18"/>
              </w:rPr>
              <w:t>13 000</w:t>
            </w:r>
          </w:p>
        </w:tc>
        <w:tc>
          <w:tcPr>
            <w:tcW w:w="1039" w:type="dxa"/>
            <w:tcBorders>
              <w:top w:val="single" w:sz="4" w:space="0" w:color="000000"/>
              <w:left w:val="single" w:sz="4" w:space="0" w:color="000000"/>
              <w:bottom w:val="single" w:sz="4" w:space="0" w:color="000000"/>
              <w:right w:val="nil"/>
            </w:tcBorders>
            <w:vAlign w:val="center"/>
          </w:tcPr>
          <w:p w:rsidR="00701D81" w:rsidRPr="00E423F6" w:rsidRDefault="00E423F6" w:rsidP="00235B4C">
            <w:pPr>
              <w:suppressAutoHyphens/>
              <w:jc w:val="center"/>
              <w:rPr>
                <w:b/>
                <w:sz w:val="18"/>
                <w:szCs w:val="18"/>
                <w:lang w:eastAsia="zh-CN"/>
              </w:rPr>
            </w:pPr>
            <w:r w:rsidRPr="00E423F6">
              <w:rPr>
                <w:b/>
                <w:sz w:val="18"/>
                <w:szCs w:val="18"/>
                <w:lang w:eastAsia="zh-CN"/>
              </w:rPr>
              <w:t>18 500</w:t>
            </w:r>
          </w:p>
        </w:tc>
        <w:tc>
          <w:tcPr>
            <w:tcW w:w="1040" w:type="dxa"/>
            <w:tcBorders>
              <w:top w:val="single" w:sz="4" w:space="0" w:color="000000"/>
              <w:left w:val="single" w:sz="4" w:space="0" w:color="000000"/>
              <w:bottom w:val="single" w:sz="4" w:space="0" w:color="000000"/>
              <w:right w:val="single" w:sz="4" w:space="0" w:color="000000"/>
            </w:tcBorders>
            <w:vAlign w:val="center"/>
          </w:tcPr>
          <w:p w:rsidR="00701D81" w:rsidRPr="00D25FEE" w:rsidRDefault="004B424B" w:rsidP="00235B4C">
            <w:pPr>
              <w:suppressAutoHyphens/>
              <w:snapToGrid w:val="0"/>
              <w:jc w:val="center"/>
              <w:rPr>
                <w:rFonts w:ascii="Calibri" w:hAnsi="Calibri" w:cs="Calibri"/>
                <w:b/>
                <w:sz w:val="18"/>
                <w:szCs w:val="18"/>
                <w:lang w:eastAsia="zh-CN"/>
              </w:rPr>
            </w:pPr>
            <w:r w:rsidRPr="00D25FEE">
              <w:rPr>
                <w:rFonts w:ascii="Calibri" w:hAnsi="Calibri" w:cs="Calibri"/>
                <w:b/>
                <w:sz w:val="18"/>
                <w:szCs w:val="18"/>
                <w:lang w:eastAsia="zh-CN"/>
              </w:rPr>
              <w:t>22 500</w:t>
            </w:r>
          </w:p>
        </w:tc>
        <w:tc>
          <w:tcPr>
            <w:tcW w:w="992" w:type="dxa"/>
            <w:tcBorders>
              <w:top w:val="single" w:sz="4" w:space="0" w:color="000000"/>
              <w:left w:val="single" w:sz="4" w:space="0" w:color="000000"/>
              <w:bottom w:val="single" w:sz="4" w:space="0" w:color="000000"/>
              <w:right w:val="single" w:sz="4" w:space="0" w:color="000000"/>
            </w:tcBorders>
            <w:vAlign w:val="center"/>
          </w:tcPr>
          <w:p w:rsidR="00701D81" w:rsidRDefault="005D1495" w:rsidP="00235B4C">
            <w:pPr>
              <w:suppressAutoHyphens/>
              <w:snapToGrid w:val="0"/>
              <w:jc w:val="center"/>
              <w:rPr>
                <w:rFonts w:ascii="Calibri" w:hAnsi="Calibri" w:cs="Calibri"/>
                <w:sz w:val="24"/>
                <w:szCs w:val="24"/>
                <w:lang w:eastAsia="zh-CN"/>
              </w:rPr>
            </w:pPr>
            <w:r>
              <w:rPr>
                <w:rFonts w:ascii="Calibri" w:hAnsi="Calibri" w:cs="Calibri"/>
                <w:sz w:val="24"/>
                <w:szCs w:val="24"/>
                <w:lang w:eastAsia="zh-CN"/>
              </w:rPr>
              <w:t>4</w:t>
            </w:r>
          </w:p>
        </w:tc>
      </w:tr>
      <w:tr w:rsidR="00701D81" w:rsidTr="003A12D4">
        <w:trPr>
          <w:cantSplit/>
          <w:trHeight w:val="328"/>
          <w:jc w:val="center"/>
        </w:trPr>
        <w:tc>
          <w:tcPr>
            <w:tcW w:w="440" w:type="dxa"/>
            <w:tcBorders>
              <w:top w:val="nil"/>
              <w:left w:val="single" w:sz="4" w:space="0" w:color="000000"/>
              <w:bottom w:val="single" w:sz="4" w:space="0" w:color="000000"/>
              <w:right w:val="nil"/>
            </w:tcBorders>
            <w:vAlign w:val="center"/>
          </w:tcPr>
          <w:p w:rsidR="00701D81" w:rsidRPr="00427FBC" w:rsidRDefault="00701D81" w:rsidP="003A12D4">
            <w:pPr>
              <w:suppressAutoHyphens/>
              <w:snapToGrid w:val="0"/>
              <w:jc w:val="center"/>
              <w:rPr>
                <w:rFonts w:cs="Calibri"/>
                <w:sz w:val="18"/>
                <w:szCs w:val="18"/>
                <w:lang w:eastAsia="zh-CN"/>
              </w:rPr>
            </w:pPr>
            <w:r>
              <w:rPr>
                <w:rFonts w:cs="Tahoma"/>
                <w:sz w:val="18"/>
                <w:szCs w:val="18"/>
              </w:rPr>
              <w:t>2</w:t>
            </w:r>
          </w:p>
        </w:tc>
        <w:tc>
          <w:tcPr>
            <w:tcW w:w="3990" w:type="dxa"/>
            <w:tcBorders>
              <w:top w:val="nil"/>
              <w:left w:val="single" w:sz="4" w:space="0" w:color="000000"/>
              <w:bottom w:val="single" w:sz="4" w:space="0" w:color="000000"/>
              <w:right w:val="nil"/>
            </w:tcBorders>
            <w:hideMark/>
          </w:tcPr>
          <w:p w:rsidR="00701D81" w:rsidRPr="00427FBC" w:rsidRDefault="00701D81" w:rsidP="00701D81">
            <w:pPr>
              <w:pStyle w:val="Nagwek4"/>
              <w:numPr>
                <w:ilvl w:val="3"/>
                <w:numId w:val="12"/>
              </w:numPr>
              <w:jc w:val="left"/>
              <w:rPr>
                <w:rFonts w:asciiTheme="minorHAnsi" w:hAnsiTheme="minorHAnsi"/>
                <w:sz w:val="18"/>
                <w:szCs w:val="18"/>
              </w:rPr>
            </w:pPr>
            <w:r w:rsidRPr="00427FBC">
              <w:rPr>
                <w:rFonts w:asciiTheme="minorHAnsi" w:hAnsiTheme="minorHAnsi" w:cs="Tahoma"/>
                <w:sz w:val="18"/>
                <w:szCs w:val="18"/>
              </w:rPr>
              <w:t>Śmierć małżonka w następstwie nieszczęśliwego wypadku (wysokość świadczenia obejmuje świadczenie z tytułu zgonu małżonka)</w:t>
            </w:r>
          </w:p>
        </w:tc>
        <w:tc>
          <w:tcPr>
            <w:tcW w:w="1039" w:type="dxa"/>
            <w:tcBorders>
              <w:top w:val="single" w:sz="4" w:space="0" w:color="000000"/>
              <w:left w:val="single" w:sz="4" w:space="0" w:color="000000"/>
              <w:bottom w:val="single" w:sz="4" w:space="0" w:color="000000"/>
              <w:right w:val="single" w:sz="4" w:space="0" w:color="000000"/>
            </w:tcBorders>
            <w:vAlign w:val="center"/>
          </w:tcPr>
          <w:p w:rsidR="00701D81" w:rsidRPr="00841EF8" w:rsidRDefault="00701D81" w:rsidP="00235B4C">
            <w:pPr>
              <w:suppressAutoHyphens/>
              <w:jc w:val="center"/>
              <w:rPr>
                <w:rFonts w:cs="Tahoma"/>
                <w:b/>
                <w:bCs/>
                <w:sz w:val="18"/>
                <w:szCs w:val="18"/>
              </w:rPr>
            </w:pPr>
            <w:r w:rsidRPr="00841EF8">
              <w:rPr>
                <w:rFonts w:cs="Tahoma"/>
                <w:b/>
                <w:bCs/>
                <w:sz w:val="18"/>
                <w:szCs w:val="18"/>
              </w:rPr>
              <w:t>26 000</w:t>
            </w:r>
          </w:p>
        </w:tc>
        <w:tc>
          <w:tcPr>
            <w:tcW w:w="1039" w:type="dxa"/>
            <w:tcBorders>
              <w:top w:val="single" w:sz="4" w:space="0" w:color="000000"/>
              <w:left w:val="single" w:sz="4" w:space="0" w:color="000000"/>
              <w:bottom w:val="single" w:sz="4" w:space="0" w:color="000000"/>
              <w:right w:val="nil"/>
            </w:tcBorders>
            <w:vAlign w:val="center"/>
          </w:tcPr>
          <w:p w:rsidR="00701D81" w:rsidRPr="00E423F6" w:rsidRDefault="00E423F6" w:rsidP="00235B4C">
            <w:pPr>
              <w:suppressAutoHyphens/>
              <w:jc w:val="center"/>
              <w:rPr>
                <w:b/>
                <w:sz w:val="18"/>
                <w:szCs w:val="18"/>
                <w:lang w:eastAsia="zh-CN"/>
              </w:rPr>
            </w:pPr>
            <w:r w:rsidRPr="00E423F6">
              <w:rPr>
                <w:b/>
                <w:sz w:val="18"/>
                <w:szCs w:val="18"/>
                <w:lang w:eastAsia="zh-CN"/>
              </w:rPr>
              <w:t>37 000</w:t>
            </w:r>
          </w:p>
        </w:tc>
        <w:tc>
          <w:tcPr>
            <w:tcW w:w="1040" w:type="dxa"/>
            <w:tcBorders>
              <w:top w:val="single" w:sz="4" w:space="0" w:color="000000"/>
              <w:left w:val="single" w:sz="4" w:space="0" w:color="000000"/>
              <w:bottom w:val="single" w:sz="4" w:space="0" w:color="000000"/>
              <w:right w:val="single" w:sz="4" w:space="0" w:color="000000"/>
            </w:tcBorders>
            <w:vAlign w:val="center"/>
          </w:tcPr>
          <w:p w:rsidR="00701D81" w:rsidRPr="00D25FEE" w:rsidRDefault="004B424B" w:rsidP="00235B4C">
            <w:pPr>
              <w:suppressAutoHyphens/>
              <w:snapToGrid w:val="0"/>
              <w:jc w:val="center"/>
              <w:rPr>
                <w:rFonts w:ascii="Calibri" w:hAnsi="Calibri" w:cs="Calibri"/>
                <w:b/>
                <w:sz w:val="18"/>
                <w:szCs w:val="18"/>
                <w:lang w:eastAsia="zh-CN"/>
              </w:rPr>
            </w:pPr>
            <w:r w:rsidRPr="00D25FEE">
              <w:rPr>
                <w:rFonts w:ascii="Calibri" w:hAnsi="Calibri" w:cs="Calibri"/>
                <w:b/>
                <w:sz w:val="18"/>
                <w:szCs w:val="18"/>
                <w:lang w:eastAsia="zh-CN"/>
              </w:rPr>
              <w:t>45 000</w:t>
            </w:r>
          </w:p>
        </w:tc>
        <w:tc>
          <w:tcPr>
            <w:tcW w:w="992" w:type="dxa"/>
            <w:tcBorders>
              <w:top w:val="single" w:sz="4" w:space="0" w:color="000000"/>
              <w:left w:val="single" w:sz="4" w:space="0" w:color="000000"/>
              <w:bottom w:val="single" w:sz="4" w:space="0" w:color="000000"/>
              <w:right w:val="single" w:sz="4" w:space="0" w:color="000000"/>
            </w:tcBorders>
            <w:vAlign w:val="center"/>
          </w:tcPr>
          <w:p w:rsidR="00701D81" w:rsidRDefault="005D1495" w:rsidP="00235B4C">
            <w:pPr>
              <w:suppressAutoHyphens/>
              <w:snapToGrid w:val="0"/>
              <w:jc w:val="center"/>
              <w:rPr>
                <w:rFonts w:ascii="Calibri" w:hAnsi="Calibri" w:cs="Calibri"/>
                <w:sz w:val="24"/>
                <w:szCs w:val="24"/>
                <w:lang w:eastAsia="zh-CN"/>
              </w:rPr>
            </w:pPr>
            <w:r>
              <w:rPr>
                <w:rFonts w:ascii="Calibri" w:hAnsi="Calibri" w:cs="Calibri"/>
                <w:sz w:val="24"/>
                <w:szCs w:val="24"/>
                <w:lang w:eastAsia="zh-CN"/>
              </w:rPr>
              <w:t>2</w:t>
            </w:r>
          </w:p>
        </w:tc>
      </w:tr>
      <w:tr w:rsidR="00701D81" w:rsidTr="003A12D4">
        <w:trPr>
          <w:cantSplit/>
          <w:trHeight w:val="328"/>
          <w:jc w:val="center"/>
        </w:trPr>
        <w:tc>
          <w:tcPr>
            <w:tcW w:w="440" w:type="dxa"/>
            <w:tcBorders>
              <w:top w:val="nil"/>
              <w:left w:val="single" w:sz="4" w:space="0" w:color="000000"/>
              <w:bottom w:val="single" w:sz="4" w:space="0" w:color="000000"/>
              <w:right w:val="nil"/>
            </w:tcBorders>
            <w:vAlign w:val="center"/>
          </w:tcPr>
          <w:p w:rsidR="00701D81" w:rsidRPr="00427FBC" w:rsidRDefault="00E423F6" w:rsidP="003A12D4">
            <w:pPr>
              <w:suppressAutoHyphens/>
              <w:jc w:val="center"/>
              <w:rPr>
                <w:sz w:val="18"/>
                <w:szCs w:val="18"/>
                <w:lang w:eastAsia="zh-CN"/>
              </w:rPr>
            </w:pPr>
            <w:r>
              <w:rPr>
                <w:rFonts w:cs="Tahoma"/>
                <w:sz w:val="18"/>
                <w:szCs w:val="18"/>
              </w:rPr>
              <w:t>3</w:t>
            </w:r>
          </w:p>
        </w:tc>
        <w:tc>
          <w:tcPr>
            <w:tcW w:w="3990" w:type="dxa"/>
            <w:tcBorders>
              <w:top w:val="nil"/>
              <w:left w:val="single" w:sz="4" w:space="0" w:color="000000"/>
              <w:bottom w:val="single" w:sz="4" w:space="0" w:color="000000"/>
              <w:right w:val="nil"/>
            </w:tcBorders>
            <w:hideMark/>
          </w:tcPr>
          <w:p w:rsidR="00701D81" w:rsidRPr="00427FBC" w:rsidRDefault="00701D81" w:rsidP="00235B4C">
            <w:pPr>
              <w:suppressAutoHyphens/>
              <w:rPr>
                <w:sz w:val="18"/>
                <w:szCs w:val="18"/>
                <w:lang w:eastAsia="zh-CN"/>
              </w:rPr>
            </w:pPr>
            <w:r w:rsidRPr="00427FBC">
              <w:rPr>
                <w:rFonts w:cs="Tahoma"/>
                <w:sz w:val="18"/>
                <w:szCs w:val="18"/>
              </w:rPr>
              <w:t>Poważne zachorowanie dziecka</w:t>
            </w:r>
          </w:p>
        </w:tc>
        <w:tc>
          <w:tcPr>
            <w:tcW w:w="1039" w:type="dxa"/>
            <w:tcBorders>
              <w:top w:val="nil"/>
              <w:left w:val="single" w:sz="4" w:space="0" w:color="000000"/>
              <w:bottom w:val="single" w:sz="4" w:space="0" w:color="000000"/>
              <w:right w:val="single" w:sz="4" w:space="0" w:color="000000"/>
            </w:tcBorders>
            <w:vAlign w:val="center"/>
          </w:tcPr>
          <w:p w:rsidR="00701D81" w:rsidRPr="00841EF8" w:rsidRDefault="00701D81" w:rsidP="00235B4C">
            <w:pPr>
              <w:suppressAutoHyphens/>
              <w:jc w:val="center"/>
              <w:rPr>
                <w:rFonts w:cs="Tahoma"/>
                <w:b/>
                <w:bCs/>
                <w:sz w:val="18"/>
                <w:szCs w:val="18"/>
              </w:rPr>
            </w:pPr>
            <w:r w:rsidRPr="00841EF8">
              <w:rPr>
                <w:rFonts w:cs="Tahoma"/>
                <w:b/>
                <w:bCs/>
                <w:sz w:val="18"/>
                <w:szCs w:val="18"/>
              </w:rPr>
              <w:t>2 500</w:t>
            </w:r>
          </w:p>
        </w:tc>
        <w:tc>
          <w:tcPr>
            <w:tcW w:w="1039" w:type="dxa"/>
            <w:tcBorders>
              <w:top w:val="single" w:sz="4" w:space="0" w:color="000000"/>
              <w:left w:val="single" w:sz="4" w:space="0" w:color="000000"/>
              <w:bottom w:val="single" w:sz="4" w:space="0" w:color="000000"/>
              <w:right w:val="nil"/>
            </w:tcBorders>
            <w:vAlign w:val="center"/>
          </w:tcPr>
          <w:p w:rsidR="00701D81" w:rsidRPr="00E423F6" w:rsidRDefault="00E423F6" w:rsidP="00235B4C">
            <w:pPr>
              <w:suppressAutoHyphens/>
              <w:jc w:val="center"/>
              <w:rPr>
                <w:b/>
                <w:sz w:val="18"/>
                <w:szCs w:val="18"/>
                <w:lang w:eastAsia="zh-CN"/>
              </w:rPr>
            </w:pPr>
            <w:r w:rsidRPr="00E423F6">
              <w:rPr>
                <w:b/>
                <w:sz w:val="18"/>
                <w:szCs w:val="18"/>
                <w:lang w:eastAsia="zh-CN"/>
              </w:rPr>
              <w:t>3 000</w:t>
            </w:r>
          </w:p>
        </w:tc>
        <w:tc>
          <w:tcPr>
            <w:tcW w:w="1040" w:type="dxa"/>
            <w:tcBorders>
              <w:top w:val="single" w:sz="4" w:space="0" w:color="000000"/>
              <w:left w:val="single" w:sz="4" w:space="0" w:color="000000"/>
              <w:bottom w:val="single" w:sz="4" w:space="0" w:color="000000"/>
              <w:right w:val="single" w:sz="4" w:space="0" w:color="000000"/>
            </w:tcBorders>
            <w:vAlign w:val="center"/>
          </w:tcPr>
          <w:p w:rsidR="00701D81" w:rsidRPr="00D25FEE" w:rsidRDefault="004B424B" w:rsidP="00235B4C">
            <w:pPr>
              <w:suppressAutoHyphens/>
              <w:snapToGrid w:val="0"/>
              <w:jc w:val="center"/>
              <w:rPr>
                <w:rFonts w:ascii="Calibri" w:hAnsi="Calibri" w:cs="Calibri"/>
                <w:b/>
                <w:sz w:val="18"/>
                <w:szCs w:val="18"/>
                <w:lang w:eastAsia="zh-CN"/>
              </w:rPr>
            </w:pPr>
            <w:r w:rsidRPr="00D25FEE">
              <w:rPr>
                <w:rFonts w:ascii="Calibri" w:hAnsi="Calibri" w:cs="Calibri"/>
                <w:b/>
                <w:sz w:val="18"/>
                <w:szCs w:val="18"/>
                <w:lang w:eastAsia="zh-CN"/>
              </w:rPr>
              <w:t>4 500</w:t>
            </w:r>
          </w:p>
        </w:tc>
        <w:tc>
          <w:tcPr>
            <w:tcW w:w="992" w:type="dxa"/>
            <w:tcBorders>
              <w:top w:val="single" w:sz="4" w:space="0" w:color="000000"/>
              <w:left w:val="single" w:sz="4" w:space="0" w:color="000000"/>
              <w:bottom w:val="single" w:sz="4" w:space="0" w:color="000000"/>
              <w:right w:val="single" w:sz="4" w:space="0" w:color="000000"/>
            </w:tcBorders>
            <w:vAlign w:val="center"/>
          </w:tcPr>
          <w:p w:rsidR="00701D81" w:rsidRDefault="00701D81" w:rsidP="00235B4C">
            <w:pPr>
              <w:suppressAutoHyphens/>
              <w:snapToGrid w:val="0"/>
              <w:jc w:val="center"/>
              <w:rPr>
                <w:rFonts w:ascii="Calibri" w:hAnsi="Calibri" w:cs="Calibri"/>
                <w:sz w:val="24"/>
                <w:szCs w:val="24"/>
                <w:lang w:eastAsia="zh-CN"/>
              </w:rPr>
            </w:pPr>
            <w:r>
              <w:rPr>
                <w:rFonts w:ascii="Calibri" w:hAnsi="Calibri" w:cs="Calibri"/>
                <w:sz w:val="24"/>
                <w:szCs w:val="24"/>
                <w:lang w:eastAsia="zh-CN"/>
              </w:rPr>
              <w:t>2</w:t>
            </w:r>
          </w:p>
        </w:tc>
      </w:tr>
      <w:tr w:rsidR="00701D81" w:rsidTr="003A12D4">
        <w:trPr>
          <w:cantSplit/>
          <w:trHeight w:val="328"/>
          <w:jc w:val="center"/>
        </w:trPr>
        <w:tc>
          <w:tcPr>
            <w:tcW w:w="440" w:type="dxa"/>
            <w:tcBorders>
              <w:top w:val="nil"/>
              <w:left w:val="single" w:sz="4" w:space="0" w:color="000000"/>
              <w:bottom w:val="single" w:sz="4" w:space="0" w:color="000000"/>
              <w:right w:val="nil"/>
            </w:tcBorders>
            <w:vAlign w:val="center"/>
          </w:tcPr>
          <w:p w:rsidR="00701D81" w:rsidRPr="00427FBC" w:rsidRDefault="00E423F6" w:rsidP="003A12D4">
            <w:pPr>
              <w:suppressAutoHyphens/>
              <w:jc w:val="center"/>
              <w:rPr>
                <w:sz w:val="18"/>
                <w:szCs w:val="18"/>
                <w:lang w:eastAsia="zh-CN"/>
              </w:rPr>
            </w:pPr>
            <w:r>
              <w:rPr>
                <w:rFonts w:cs="Tahoma"/>
                <w:sz w:val="18"/>
                <w:szCs w:val="18"/>
              </w:rPr>
              <w:t>4</w:t>
            </w:r>
          </w:p>
        </w:tc>
        <w:tc>
          <w:tcPr>
            <w:tcW w:w="3990" w:type="dxa"/>
            <w:tcBorders>
              <w:top w:val="nil"/>
              <w:left w:val="single" w:sz="4" w:space="0" w:color="000000"/>
              <w:bottom w:val="single" w:sz="4" w:space="0" w:color="000000"/>
              <w:right w:val="nil"/>
            </w:tcBorders>
            <w:hideMark/>
          </w:tcPr>
          <w:p w:rsidR="00701D81" w:rsidRPr="00427FBC" w:rsidRDefault="00701D81" w:rsidP="00235B4C">
            <w:pPr>
              <w:suppressAutoHyphens/>
              <w:rPr>
                <w:sz w:val="18"/>
                <w:szCs w:val="18"/>
                <w:lang w:eastAsia="zh-CN"/>
              </w:rPr>
            </w:pPr>
            <w:r w:rsidRPr="00427FBC">
              <w:rPr>
                <w:rFonts w:cs="Tahoma"/>
                <w:sz w:val="18"/>
                <w:szCs w:val="18"/>
              </w:rPr>
              <w:t>Leczenie specjalistyczne ubezpieczonego</w:t>
            </w:r>
          </w:p>
        </w:tc>
        <w:tc>
          <w:tcPr>
            <w:tcW w:w="1039" w:type="dxa"/>
            <w:tcBorders>
              <w:top w:val="single" w:sz="4" w:space="0" w:color="000000"/>
              <w:left w:val="single" w:sz="4" w:space="0" w:color="000000"/>
              <w:bottom w:val="single" w:sz="4" w:space="0" w:color="000000"/>
              <w:right w:val="single" w:sz="4" w:space="0" w:color="000000"/>
            </w:tcBorders>
            <w:vAlign w:val="center"/>
          </w:tcPr>
          <w:p w:rsidR="00701D81" w:rsidRPr="00841EF8" w:rsidRDefault="00701D81" w:rsidP="00235B4C">
            <w:pPr>
              <w:suppressAutoHyphens/>
              <w:jc w:val="center"/>
              <w:rPr>
                <w:rFonts w:cs="Tahoma"/>
                <w:b/>
                <w:sz w:val="18"/>
                <w:szCs w:val="18"/>
              </w:rPr>
            </w:pPr>
            <w:r w:rsidRPr="00841EF8">
              <w:rPr>
                <w:rFonts w:cs="Tahoma"/>
                <w:b/>
                <w:sz w:val="18"/>
                <w:szCs w:val="18"/>
              </w:rPr>
              <w:t>3 000</w:t>
            </w:r>
          </w:p>
        </w:tc>
        <w:tc>
          <w:tcPr>
            <w:tcW w:w="1039" w:type="dxa"/>
            <w:tcBorders>
              <w:top w:val="single" w:sz="4" w:space="0" w:color="000000"/>
              <w:left w:val="single" w:sz="4" w:space="0" w:color="000000"/>
              <w:bottom w:val="single" w:sz="4" w:space="0" w:color="000000"/>
              <w:right w:val="nil"/>
            </w:tcBorders>
            <w:vAlign w:val="center"/>
          </w:tcPr>
          <w:p w:rsidR="00701D81" w:rsidRPr="00E423F6" w:rsidRDefault="00995C85" w:rsidP="00235B4C">
            <w:pPr>
              <w:suppressAutoHyphens/>
              <w:jc w:val="center"/>
              <w:rPr>
                <w:b/>
                <w:sz w:val="18"/>
                <w:szCs w:val="18"/>
                <w:lang w:eastAsia="zh-CN"/>
              </w:rPr>
            </w:pPr>
            <w:r w:rsidRPr="00E423F6">
              <w:rPr>
                <w:b/>
                <w:sz w:val="18"/>
                <w:szCs w:val="18"/>
                <w:lang w:eastAsia="zh-CN"/>
              </w:rPr>
              <w:t>3 100</w:t>
            </w:r>
          </w:p>
        </w:tc>
        <w:tc>
          <w:tcPr>
            <w:tcW w:w="1040" w:type="dxa"/>
            <w:tcBorders>
              <w:top w:val="single" w:sz="4" w:space="0" w:color="000000"/>
              <w:left w:val="single" w:sz="4" w:space="0" w:color="000000"/>
              <w:bottom w:val="single" w:sz="4" w:space="0" w:color="000000"/>
              <w:right w:val="single" w:sz="4" w:space="0" w:color="000000"/>
            </w:tcBorders>
            <w:vAlign w:val="center"/>
          </w:tcPr>
          <w:p w:rsidR="00701D81" w:rsidRPr="00D25FEE" w:rsidRDefault="004B424B" w:rsidP="00235B4C">
            <w:pPr>
              <w:suppressAutoHyphens/>
              <w:snapToGrid w:val="0"/>
              <w:jc w:val="center"/>
              <w:rPr>
                <w:rFonts w:ascii="Calibri" w:hAnsi="Calibri" w:cs="Calibri"/>
                <w:b/>
                <w:sz w:val="18"/>
                <w:szCs w:val="18"/>
                <w:lang w:eastAsia="zh-CN"/>
              </w:rPr>
            </w:pPr>
            <w:r w:rsidRPr="00D25FEE">
              <w:rPr>
                <w:rFonts w:ascii="Calibri" w:hAnsi="Calibri" w:cs="Calibri"/>
                <w:b/>
                <w:sz w:val="18"/>
                <w:szCs w:val="18"/>
                <w:lang w:eastAsia="zh-CN"/>
              </w:rPr>
              <w:t>5 000</w:t>
            </w:r>
          </w:p>
        </w:tc>
        <w:tc>
          <w:tcPr>
            <w:tcW w:w="992" w:type="dxa"/>
            <w:tcBorders>
              <w:top w:val="single" w:sz="4" w:space="0" w:color="000000"/>
              <w:left w:val="single" w:sz="4" w:space="0" w:color="000000"/>
              <w:bottom w:val="single" w:sz="4" w:space="0" w:color="000000"/>
              <w:right w:val="single" w:sz="4" w:space="0" w:color="000000"/>
            </w:tcBorders>
            <w:vAlign w:val="center"/>
          </w:tcPr>
          <w:p w:rsidR="00701D81" w:rsidRDefault="00701D81" w:rsidP="00235B4C">
            <w:pPr>
              <w:suppressAutoHyphens/>
              <w:snapToGrid w:val="0"/>
              <w:jc w:val="center"/>
              <w:rPr>
                <w:rFonts w:ascii="Calibri" w:hAnsi="Calibri" w:cs="Calibri"/>
                <w:sz w:val="24"/>
                <w:szCs w:val="24"/>
                <w:lang w:eastAsia="zh-CN"/>
              </w:rPr>
            </w:pPr>
            <w:r>
              <w:rPr>
                <w:rFonts w:ascii="Calibri" w:hAnsi="Calibri" w:cs="Calibri"/>
                <w:sz w:val="24"/>
                <w:szCs w:val="24"/>
                <w:lang w:eastAsia="zh-CN"/>
              </w:rPr>
              <w:t>1</w:t>
            </w:r>
          </w:p>
        </w:tc>
      </w:tr>
      <w:tr w:rsidR="00701D81" w:rsidTr="003A12D4">
        <w:trPr>
          <w:cantSplit/>
          <w:trHeight w:val="328"/>
          <w:jc w:val="center"/>
        </w:trPr>
        <w:tc>
          <w:tcPr>
            <w:tcW w:w="440" w:type="dxa"/>
            <w:tcBorders>
              <w:top w:val="single" w:sz="4" w:space="0" w:color="000000"/>
              <w:left w:val="single" w:sz="4" w:space="0" w:color="000000"/>
              <w:bottom w:val="single" w:sz="4" w:space="0" w:color="000000"/>
              <w:right w:val="nil"/>
            </w:tcBorders>
            <w:vAlign w:val="center"/>
          </w:tcPr>
          <w:p w:rsidR="00701D81" w:rsidRPr="00427FBC" w:rsidRDefault="00E423F6" w:rsidP="003A12D4">
            <w:pPr>
              <w:suppressAutoHyphens/>
              <w:jc w:val="center"/>
              <w:rPr>
                <w:sz w:val="18"/>
                <w:szCs w:val="18"/>
                <w:lang w:eastAsia="zh-CN"/>
              </w:rPr>
            </w:pPr>
            <w:r>
              <w:rPr>
                <w:rFonts w:cs="Tahoma"/>
                <w:sz w:val="18"/>
                <w:szCs w:val="18"/>
              </w:rPr>
              <w:t>5</w:t>
            </w:r>
          </w:p>
        </w:tc>
        <w:tc>
          <w:tcPr>
            <w:tcW w:w="3990" w:type="dxa"/>
            <w:tcBorders>
              <w:top w:val="single" w:sz="4" w:space="0" w:color="000000"/>
              <w:left w:val="single" w:sz="4" w:space="0" w:color="000000"/>
              <w:bottom w:val="single" w:sz="4" w:space="0" w:color="000000"/>
              <w:right w:val="nil"/>
            </w:tcBorders>
            <w:hideMark/>
          </w:tcPr>
          <w:p w:rsidR="00701D81" w:rsidRPr="00427FBC" w:rsidRDefault="00421792" w:rsidP="00421792">
            <w:pPr>
              <w:pStyle w:val="Nagwek4"/>
              <w:numPr>
                <w:ilvl w:val="3"/>
                <w:numId w:val="12"/>
              </w:numPr>
              <w:jc w:val="left"/>
              <w:rPr>
                <w:rFonts w:asciiTheme="minorHAnsi" w:hAnsiTheme="minorHAnsi"/>
                <w:sz w:val="18"/>
                <w:szCs w:val="18"/>
              </w:rPr>
            </w:pPr>
            <w:r>
              <w:rPr>
                <w:rFonts w:asciiTheme="minorHAnsi" w:hAnsiTheme="minorHAnsi" w:cs="Tahoma"/>
                <w:sz w:val="18"/>
                <w:szCs w:val="18"/>
              </w:rPr>
              <w:t>Pobyt w Szpitalu</w:t>
            </w:r>
            <w:r w:rsidR="00701D81" w:rsidRPr="00427FBC">
              <w:rPr>
                <w:rFonts w:asciiTheme="minorHAnsi" w:hAnsiTheme="minorHAnsi" w:cs="Tahoma"/>
                <w:sz w:val="18"/>
                <w:szCs w:val="18"/>
              </w:rPr>
              <w:t xml:space="preserve"> Małżonka Ubezpieczonego (zakres rozszerzony) wskutek nieszczęśliwego wypadku - </w:t>
            </w:r>
            <w:r>
              <w:rPr>
                <w:rFonts w:asciiTheme="minorHAnsi" w:hAnsiTheme="minorHAnsi" w:cs="Tahoma"/>
                <w:sz w:val="18"/>
                <w:szCs w:val="18"/>
              </w:rPr>
              <w:t>kwota</w:t>
            </w:r>
            <w:r w:rsidR="00701D81" w:rsidRPr="00427FBC">
              <w:rPr>
                <w:rFonts w:asciiTheme="minorHAnsi" w:hAnsiTheme="minorHAnsi" w:cs="Tahoma"/>
                <w:sz w:val="18"/>
                <w:szCs w:val="18"/>
              </w:rPr>
              <w:t xml:space="preserve"> za dzień pobytu</w:t>
            </w:r>
          </w:p>
        </w:tc>
        <w:tc>
          <w:tcPr>
            <w:tcW w:w="1039" w:type="dxa"/>
            <w:tcBorders>
              <w:top w:val="single" w:sz="4" w:space="0" w:color="000000"/>
              <w:left w:val="single" w:sz="4" w:space="0" w:color="000000"/>
              <w:bottom w:val="single" w:sz="4" w:space="0" w:color="000000"/>
              <w:right w:val="single" w:sz="4" w:space="0" w:color="000000"/>
            </w:tcBorders>
            <w:vAlign w:val="center"/>
          </w:tcPr>
          <w:p w:rsidR="00421792" w:rsidRPr="00E423F6" w:rsidRDefault="00421792" w:rsidP="00421792">
            <w:pPr>
              <w:suppressAutoHyphens/>
              <w:rPr>
                <w:b/>
                <w:sz w:val="18"/>
                <w:szCs w:val="18"/>
                <w:lang w:eastAsia="zh-CN"/>
              </w:rPr>
            </w:pPr>
            <w:r>
              <w:rPr>
                <w:b/>
                <w:sz w:val="18"/>
                <w:szCs w:val="18"/>
                <w:lang w:eastAsia="zh-CN"/>
              </w:rPr>
              <w:t>42</w:t>
            </w:r>
            <w:r w:rsidRPr="00E423F6">
              <w:rPr>
                <w:b/>
                <w:sz w:val="18"/>
                <w:szCs w:val="18"/>
                <w:lang w:eastAsia="zh-CN"/>
              </w:rPr>
              <w:t xml:space="preserve"> – wypadek</w:t>
            </w:r>
          </w:p>
          <w:p w:rsidR="00701D81" w:rsidRPr="00841EF8" w:rsidRDefault="00421792" w:rsidP="00421792">
            <w:pPr>
              <w:suppressAutoHyphens/>
              <w:rPr>
                <w:rFonts w:cs="Tahoma"/>
                <w:b/>
                <w:sz w:val="18"/>
                <w:szCs w:val="18"/>
              </w:rPr>
            </w:pPr>
            <w:r>
              <w:rPr>
                <w:b/>
                <w:sz w:val="18"/>
                <w:szCs w:val="18"/>
                <w:lang w:eastAsia="zh-CN"/>
              </w:rPr>
              <w:t>84–</w:t>
            </w:r>
            <w:r w:rsidRPr="00E423F6">
              <w:rPr>
                <w:b/>
                <w:sz w:val="18"/>
                <w:szCs w:val="18"/>
                <w:lang w:eastAsia="zh-CN"/>
              </w:rPr>
              <w:t xml:space="preserve"> OIOM</w:t>
            </w:r>
          </w:p>
        </w:tc>
        <w:tc>
          <w:tcPr>
            <w:tcW w:w="1039" w:type="dxa"/>
            <w:tcBorders>
              <w:top w:val="single" w:sz="4" w:space="0" w:color="000000"/>
              <w:left w:val="single" w:sz="4" w:space="0" w:color="000000"/>
              <w:bottom w:val="single" w:sz="4" w:space="0" w:color="000000"/>
              <w:right w:val="nil"/>
            </w:tcBorders>
            <w:vAlign w:val="center"/>
          </w:tcPr>
          <w:p w:rsidR="00701D81" w:rsidRPr="00E423F6" w:rsidRDefault="00E423F6" w:rsidP="00E423F6">
            <w:pPr>
              <w:suppressAutoHyphens/>
              <w:rPr>
                <w:b/>
                <w:sz w:val="18"/>
                <w:szCs w:val="18"/>
                <w:lang w:eastAsia="zh-CN"/>
              </w:rPr>
            </w:pPr>
            <w:r w:rsidRPr="00E423F6">
              <w:rPr>
                <w:b/>
                <w:sz w:val="18"/>
                <w:szCs w:val="18"/>
                <w:lang w:eastAsia="zh-CN"/>
              </w:rPr>
              <w:t>50 – wypadek</w:t>
            </w:r>
          </w:p>
          <w:p w:rsidR="00E423F6" w:rsidRPr="00E423F6" w:rsidRDefault="00E423F6" w:rsidP="00E423F6">
            <w:pPr>
              <w:suppressAutoHyphens/>
              <w:rPr>
                <w:b/>
                <w:sz w:val="18"/>
                <w:szCs w:val="18"/>
                <w:lang w:eastAsia="zh-CN"/>
              </w:rPr>
            </w:pPr>
            <w:r w:rsidRPr="00E423F6">
              <w:rPr>
                <w:b/>
                <w:sz w:val="18"/>
                <w:szCs w:val="18"/>
                <w:lang w:eastAsia="zh-CN"/>
              </w:rPr>
              <w:t>100</w:t>
            </w:r>
            <w:r>
              <w:rPr>
                <w:b/>
                <w:sz w:val="18"/>
                <w:szCs w:val="18"/>
                <w:lang w:eastAsia="zh-CN"/>
              </w:rPr>
              <w:t xml:space="preserve"> –</w:t>
            </w:r>
            <w:r w:rsidRPr="00E423F6">
              <w:rPr>
                <w:b/>
                <w:sz w:val="18"/>
                <w:szCs w:val="18"/>
                <w:lang w:eastAsia="zh-CN"/>
              </w:rPr>
              <w:t xml:space="preserve"> OIOM</w:t>
            </w:r>
          </w:p>
        </w:tc>
        <w:tc>
          <w:tcPr>
            <w:tcW w:w="1040" w:type="dxa"/>
            <w:tcBorders>
              <w:top w:val="single" w:sz="4" w:space="0" w:color="000000"/>
              <w:left w:val="single" w:sz="4" w:space="0" w:color="000000"/>
              <w:bottom w:val="single" w:sz="4" w:space="0" w:color="000000"/>
              <w:right w:val="single" w:sz="4" w:space="0" w:color="000000"/>
            </w:tcBorders>
            <w:vAlign w:val="center"/>
          </w:tcPr>
          <w:p w:rsidR="00D25FEE" w:rsidRPr="00D25FEE" w:rsidRDefault="00D25FEE" w:rsidP="00D25FEE">
            <w:pPr>
              <w:suppressAutoHyphens/>
              <w:rPr>
                <w:b/>
                <w:sz w:val="18"/>
                <w:szCs w:val="18"/>
                <w:lang w:eastAsia="zh-CN"/>
              </w:rPr>
            </w:pPr>
            <w:r w:rsidRPr="00D25FEE">
              <w:rPr>
                <w:b/>
                <w:sz w:val="18"/>
                <w:szCs w:val="18"/>
                <w:lang w:eastAsia="zh-CN"/>
              </w:rPr>
              <w:t>100– wypadek</w:t>
            </w:r>
          </w:p>
          <w:p w:rsidR="00701D81" w:rsidRPr="00D25FEE" w:rsidRDefault="00D25FEE" w:rsidP="00D25FEE">
            <w:pPr>
              <w:suppressAutoHyphens/>
              <w:rPr>
                <w:b/>
                <w:sz w:val="18"/>
                <w:szCs w:val="18"/>
                <w:lang w:eastAsia="zh-CN"/>
              </w:rPr>
            </w:pPr>
            <w:r w:rsidRPr="00D25FEE">
              <w:rPr>
                <w:b/>
                <w:sz w:val="18"/>
                <w:szCs w:val="18"/>
                <w:lang w:eastAsia="zh-CN"/>
              </w:rPr>
              <w:t>200 – OIOM</w:t>
            </w:r>
          </w:p>
        </w:tc>
        <w:tc>
          <w:tcPr>
            <w:tcW w:w="992" w:type="dxa"/>
            <w:tcBorders>
              <w:top w:val="single" w:sz="4" w:space="0" w:color="000000"/>
              <w:left w:val="single" w:sz="4" w:space="0" w:color="000000"/>
              <w:bottom w:val="single" w:sz="4" w:space="0" w:color="000000"/>
              <w:right w:val="single" w:sz="4" w:space="0" w:color="000000"/>
            </w:tcBorders>
            <w:vAlign w:val="center"/>
          </w:tcPr>
          <w:p w:rsidR="00701D81" w:rsidRDefault="00701D81" w:rsidP="00235B4C">
            <w:pPr>
              <w:suppressAutoHyphens/>
              <w:snapToGrid w:val="0"/>
              <w:jc w:val="center"/>
              <w:rPr>
                <w:rFonts w:ascii="Calibri" w:hAnsi="Calibri" w:cs="Calibri"/>
                <w:sz w:val="24"/>
                <w:szCs w:val="24"/>
                <w:lang w:eastAsia="zh-CN"/>
              </w:rPr>
            </w:pPr>
            <w:r>
              <w:rPr>
                <w:rFonts w:ascii="Calibri" w:hAnsi="Calibri" w:cs="Calibri"/>
                <w:sz w:val="24"/>
                <w:szCs w:val="24"/>
                <w:lang w:eastAsia="zh-CN"/>
              </w:rPr>
              <w:t>1</w:t>
            </w:r>
          </w:p>
        </w:tc>
      </w:tr>
      <w:tr w:rsidR="00701D81" w:rsidTr="003A12D4">
        <w:trPr>
          <w:cantSplit/>
          <w:trHeight w:val="328"/>
          <w:jc w:val="center"/>
        </w:trPr>
        <w:tc>
          <w:tcPr>
            <w:tcW w:w="440" w:type="dxa"/>
            <w:tcBorders>
              <w:top w:val="single" w:sz="4" w:space="0" w:color="000000"/>
              <w:left w:val="single" w:sz="4" w:space="0" w:color="000000"/>
              <w:bottom w:val="single" w:sz="4" w:space="0" w:color="000000"/>
              <w:right w:val="nil"/>
            </w:tcBorders>
            <w:vAlign w:val="center"/>
          </w:tcPr>
          <w:p w:rsidR="00701D81" w:rsidRPr="00427FBC" w:rsidRDefault="00E423F6" w:rsidP="003A12D4">
            <w:pPr>
              <w:suppressAutoHyphens/>
              <w:jc w:val="center"/>
              <w:rPr>
                <w:sz w:val="18"/>
                <w:szCs w:val="18"/>
                <w:lang w:eastAsia="zh-CN"/>
              </w:rPr>
            </w:pPr>
            <w:r>
              <w:rPr>
                <w:rFonts w:cs="Tahoma"/>
                <w:sz w:val="18"/>
                <w:szCs w:val="18"/>
              </w:rPr>
              <w:t>6</w:t>
            </w:r>
          </w:p>
        </w:tc>
        <w:tc>
          <w:tcPr>
            <w:tcW w:w="3990" w:type="dxa"/>
            <w:tcBorders>
              <w:top w:val="single" w:sz="4" w:space="0" w:color="000000"/>
              <w:left w:val="single" w:sz="4" w:space="0" w:color="000000"/>
              <w:bottom w:val="single" w:sz="4" w:space="0" w:color="000000"/>
              <w:right w:val="nil"/>
            </w:tcBorders>
            <w:hideMark/>
          </w:tcPr>
          <w:p w:rsidR="00701D81" w:rsidRPr="00427FBC" w:rsidRDefault="00701D81" w:rsidP="00235B4C">
            <w:pPr>
              <w:suppressAutoHyphens/>
              <w:rPr>
                <w:sz w:val="18"/>
                <w:szCs w:val="18"/>
                <w:lang w:eastAsia="zh-CN"/>
              </w:rPr>
            </w:pPr>
            <w:r w:rsidRPr="00427FBC">
              <w:rPr>
                <w:rFonts w:cs="Tahoma"/>
                <w:sz w:val="18"/>
                <w:szCs w:val="18"/>
              </w:rPr>
              <w:t>Śmierć rodziców i teściów</w:t>
            </w:r>
          </w:p>
        </w:tc>
        <w:tc>
          <w:tcPr>
            <w:tcW w:w="1039" w:type="dxa"/>
            <w:tcBorders>
              <w:top w:val="single" w:sz="4" w:space="0" w:color="000000"/>
              <w:left w:val="single" w:sz="4" w:space="0" w:color="000000"/>
              <w:bottom w:val="single" w:sz="4" w:space="0" w:color="000000"/>
              <w:right w:val="single" w:sz="4" w:space="0" w:color="000000"/>
            </w:tcBorders>
            <w:vAlign w:val="center"/>
          </w:tcPr>
          <w:p w:rsidR="00701D81" w:rsidRPr="00841EF8" w:rsidRDefault="00701D81" w:rsidP="00235B4C">
            <w:pPr>
              <w:suppressAutoHyphens/>
              <w:jc w:val="center"/>
              <w:rPr>
                <w:rFonts w:cs="Tahoma"/>
                <w:b/>
                <w:bCs/>
                <w:sz w:val="18"/>
                <w:szCs w:val="18"/>
              </w:rPr>
            </w:pPr>
            <w:r w:rsidRPr="00841EF8">
              <w:rPr>
                <w:rFonts w:cs="Tahoma"/>
                <w:b/>
                <w:bCs/>
                <w:sz w:val="18"/>
                <w:szCs w:val="18"/>
              </w:rPr>
              <w:t>2 400</w:t>
            </w:r>
          </w:p>
        </w:tc>
        <w:tc>
          <w:tcPr>
            <w:tcW w:w="1039" w:type="dxa"/>
            <w:tcBorders>
              <w:top w:val="single" w:sz="4" w:space="0" w:color="000000"/>
              <w:left w:val="single" w:sz="4" w:space="0" w:color="000000"/>
              <w:bottom w:val="single" w:sz="4" w:space="0" w:color="000000"/>
              <w:right w:val="nil"/>
            </w:tcBorders>
            <w:vAlign w:val="center"/>
          </w:tcPr>
          <w:p w:rsidR="00701D81" w:rsidRPr="00E423F6" w:rsidRDefault="00E423F6" w:rsidP="00235B4C">
            <w:pPr>
              <w:suppressAutoHyphens/>
              <w:jc w:val="center"/>
              <w:rPr>
                <w:b/>
                <w:sz w:val="18"/>
                <w:szCs w:val="18"/>
                <w:lang w:eastAsia="zh-CN"/>
              </w:rPr>
            </w:pPr>
            <w:r w:rsidRPr="00E423F6">
              <w:rPr>
                <w:b/>
                <w:sz w:val="18"/>
                <w:szCs w:val="18"/>
                <w:lang w:eastAsia="zh-CN"/>
              </w:rPr>
              <w:t>3 000</w:t>
            </w:r>
          </w:p>
        </w:tc>
        <w:tc>
          <w:tcPr>
            <w:tcW w:w="1040" w:type="dxa"/>
            <w:tcBorders>
              <w:top w:val="single" w:sz="4" w:space="0" w:color="000000"/>
              <w:left w:val="single" w:sz="4" w:space="0" w:color="000000"/>
              <w:bottom w:val="single" w:sz="4" w:space="0" w:color="000000"/>
              <w:right w:val="single" w:sz="4" w:space="0" w:color="000000"/>
            </w:tcBorders>
            <w:vAlign w:val="center"/>
          </w:tcPr>
          <w:p w:rsidR="00701D81" w:rsidRPr="00D25FEE" w:rsidRDefault="00D25FEE" w:rsidP="00235B4C">
            <w:pPr>
              <w:suppressAutoHyphens/>
              <w:snapToGrid w:val="0"/>
              <w:jc w:val="center"/>
              <w:rPr>
                <w:rFonts w:ascii="Calibri" w:hAnsi="Calibri" w:cs="Calibri"/>
                <w:b/>
                <w:sz w:val="18"/>
                <w:szCs w:val="18"/>
                <w:lang w:eastAsia="zh-CN"/>
              </w:rPr>
            </w:pPr>
            <w:r w:rsidRPr="00D25FEE">
              <w:rPr>
                <w:rFonts w:ascii="Calibri" w:hAnsi="Calibri" w:cs="Calibri"/>
                <w:b/>
                <w:sz w:val="18"/>
                <w:szCs w:val="18"/>
                <w:lang w:eastAsia="zh-CN"/>
              </w:rPr>
              <w:t>3 000</w:t>
            </w:r>
          </w:p>
        </w:tc>
        <w:tc>
          <w:tcPr>
            <w:tcW w:w="992" w:type="dxa"/>
            <w:tcBorders>
              <w:top w:val="single" w:sz="4" w:space="0" w:color="000000"/>
              <w:left w:val="single" w:sz="4" w:space="0" w:color="000000"/>
              <w:bottom w:val="single" w:sz="4" w:space="0" w:color="000000"/>
              <w:right w:val="single" w:sz="4" w:space="0" w:color="000000"/>
            </w:tcBorders>
            <w:vAlign w:val="center"/>
          </w:tcPr>
          <w:p w:rsidR="00701D81" w:rsidRDefault="005D1495" w:rsidP="00235B4C">
            <w:pPr>
              <w:suppressAutoHyphens/>
              <w:snapToGrid w:val="0"/>
              <w:jc w:val="center"/>
              <w:rPr>
                <w:rFonts w:ascii="Calibri" w:hAnsi="Calibri" w:cs="Calibri"/>
                <w:sz w:val="24"/>
                <w:szCs w:val="24"/>
                <w:lang w:eastAsia="zh-CN"/>
              </w:rPr>
            </w:pPr>
            <w:r>
              <w:rPr>
                <w:rFonts w:ascii="Calibri" w:hAnsi="Calibri" w:cs="Calibri"/>
                <w:sz w:val="24"/>
                <w:szCs w:val="24"/>
                <w:lang w:eastAsia="zh-CN"/>
              </w:rPr>
              <w:t>4</w:t>
            </w:r>
          </w:p>
        </w:tc>
      </w:tr>
      <w:tr w:rsidR="00701D81" w:rsidTr="003A12D4">
        <w:trPr>
          <w:cantSplit/>
          <w:trHeight w:val="328"/>
          <w:jc w:val="center"/>
        </w:trPr>
        <w:tc>
          <w:tcPr>
            <w:tcW w:w="440" w:type="dxa"/>
            <w:tcBorders>
              <w:top w:val="nil"/>
              <w:left w:val="single" w:sz="4" w:space="0" w:color="000000"/>
              <w:bottom w:val="single" w:sz="4" w:space="0" w:color="000000"/>
              <w:right w:val="nil"/>
            </w:tcBorders>
            <w:vAlign w:val="center"/>
          </w:tcPr>
          <w:p w:rsidR="00701D81" w:rsidRPr="00427FBC" w:rsidRDefault="00E423F6" w:rsidP="003A12D4">
            <w:pPr>
              <w:suppressAutoHyphens/>
              <w:jc w:val="center"/>
              <w:rPr>
                <w:sz w:val="18"/>
                <w:szCs w:val="18"/>
                <w:lang w:eastAsia="zh-CN"/>
              </w:rPr>
            </w:pPr>
            <w:r>
              <w:rPr>
                <w:rFonts w:cs="Tahoma"/>
                <w:sz w:val="18"/>
                <w:szCs w:val="18"/>
              </w:rPr>
              <w:t>7</w:t>
            </w:r>
          </w:p>
        </w:tc>
        <w:tc>
          <w:tcPr>
            <w:tcW w:w="3990" w:type="dxa"/>
            <w:tcBorders>
              <w:top w:val="nil"/>
              <w:left w:val="single" w:sz="4" w:space="0" w:color="000000"/>
              <w:bottom w:val="single" w:sz="4" w:space="0" w:color="000000"/>
              <w:right w:val="nil"/>
            </w:tcBorders>
            <w:hideMark/>
          </w:tcPr>
          <w:p w:rsidR="00701D81" w:rsidRPr="00427FBC" w:rsidRDefault="00701D81" w:rsidP="00235B4C">
            <w:pPr>
              <w:suppressAutoHyphens/>
              <w:rPr>
                <w:sz w:val="18"/>
                <w:szCs w:val="18"/>
                <w:lang w:eastAsia="zh-CN"/>
              </w:rPr>
            </w:pPr>
            <w:r w:rsidRPr="00427FBC">
              <w:rPr>
                <w:rFonts w:cs="Tahoma"/>
                <w:sz w:val="18"/>
                <w:szCs w:val="18"/>
              </w:rPr>
              <w:t>Śmierć dziecka</w:t>
            </w:r>
          </w:p>
        </w:tc>
        <w:tc>
          <w:tcPr>
            <w:tcW w:w="1039" w:type="dxa"/>
            <w:tcBorders>
              <w:top w:val="single" w:sz="4" w:space="0" w:color="000000"/>
              <w:left w:val="single" w:sz="4" w:space="0" w:color="000000"/>
              <w:bottom w:val="single" w:sz="4" w:space="0" w:color="000000"/>
              <w:right w:val="single" w:sz="4" w:space="0" w:color="000000"/>
            </w:tcBorders>
            <w:vAlign w:val="center"/>
          </w:tcPr>
          <w:p w:rsidR="00701D81" w:rsidRPr="00841EF8" w:rsidRDefault="00701D81" w:rsidP="00235B4C">
            <w:pPr>
              <w:suppressAutoHyphens/>
              <w:jc w:val="center"/>
              <w:rPr>
                <w:rFonts w:cs="Tahoma"/>
                <w:b/>
                <w:bCs/>
                <w:sz w:val="18"/>
                <w:szCs w:val="18"/>
              </w:rPr>
            </w:pPr>
            <w:r w:rsidRPr="00841EF8">
              <w:rPr>
                <w:rFonts w:cs="Tahoma"/>
                <w:b/>
                <w:bCs/>
                <w:sz w:val="18"/>
                <w:szCs w:val="18"/>
              </w:rPr>
              <w:t>4 000</w:t>
            </w:r>
          </w:p>
        </w:tc>
        <w:tc>
          <w:tcPr>
            <w:tcW w:w="1039" w:type="dxa"/>
            <w:tcBorders>
              <w:top w:val="single" w:sz="4" w:space="0" w:color="000000"/>
              <w:left w:val="single" w:sz="4" w:space="0" w:color="000000"/>
              <w:bottom w:val="single" w:sz="4" w:space="0" w:color="000000"/>
              <w:right w:val="nil"/>
            </w:tcBorders>
            <w:vAlign w:val="center"/>
          </w:tcPr>
          <w:p w:rsidR="00701D81" w:rsidRPr="00E423F6" w:rsidRDefault="00E423F6" w:rsidP="00235B4C">
            <w:pPr>
              <w:suppressAutoHyphens/>
              <w:jc w:val="center"/>
              <w:rPr>
                <w:b/>
                <w:sz w:val="18"/>
                <w:szCs w:val="18"/>
                <w:lang w:eastAsia="zh-CN"/>
              </w:rPr>
            </w:pPr>
            <w:r w:rsidRPr="00E423F6">
              <w:rPr>
                <w:b/>
                <w:sz w:val="18"/>
                <w:szCs w:val="18"/>
                <w:lang w:eastAsia="zh-CN"/>
              </w:rPr>
              <w:t>5 400</w:t>
            </w:r>
          </w:p>
        </w:tc>
        <w:tc>
          <w:tcPr>
            <w:tcW w:w="1040" w:type="dxa"/>
            <w:tcBorders>
              <w:top w:val="single" w:sz="4" w:space="0" w:color="000000"/>
              <w:left w:val="single" w:sz="4" w:space="0" w:color="000000"/>
              <w:bottom w:val="single" w:sz="4" w:space="0" w:color="000000"/>
              <w:right w:val="single" w:sz="4" w:space="0" w:color="000000"/>
            </w:tcBorders>
            <w:vAlign w:val="center"/>
          </w:tcPr>
          <w:p w:rsidR="00701D81" w:rsidRPr="00D25FEE" w:rsidRDefault="00D25FEE" w:rsidP="00235B4C">
            <w:pPr>
              <w:suppressAutoHyphens/>
              <w:snapToGrid w:val="0"/>
              <w:jc w:val="center"/>
              <w:rPr>
                <w:rFonts w:ascii="Calibri" w:hAnsi="Calibri" w:cs="Calibri"/>
                <w:b/>
                <w:sz w:val="18"/>
                <w:szCs w:val="18"/>
                <w:lang w:eastAsia="zh-CN"/>
              </w:rPr>
            </w:pPr>
            <w:r w:rsidRPr="00D25FEE">
              <w:rPr>
                <w:rFonts w:ascii="Calibri" w:hAnsi="Calibri" w:cs="Calibri"/>
                <w:b/>
                <w:sz w:val="18"/>
                <w:szCs w:val="18"/>
                <w:lang w:eastAsia="zh-CN"/>
              </w:rPr>
              <w:t>6 000</w:t>
            </w:r>
          </w:p>
        </w:tc>
        <w:tc>
          <w:tcPr>
            <w:tcW w:w="992" w:type="dxa"/>
            <w:tcBorders>
              <w:top w:val="single" w:sz="4" w:space="0" w:color="000000"/>
              <w:left w:val="single" w:sz="4" w:space="0" w:color="000000"/>
              <w:bottom w:val="single" w:sz="4" w:space="0" w:color="000000"/>
              <w:right w:val="single" w:sz="4" w:space="0" w:color="000000"/>
            </w:tcBorders>
            <w:vAlign w:val="center"/>
          </w:tcPr>
          <w:p w:rsidR="00701D81" w:rsidRDefault="005D1495" w:rsidP="00235B4C">
            <w:pPr>
              <w:suppressAutoHyphens/>
              <w:snapToGrid w:val="0"/>
              <w:jc w:val="center"/>
              <w:rPr>
                <w:rFonts w:ascii="Calibri" w:hAnsi="Calibri" w:cs="Calibri"/>
                <w:sz w:val="24"/>
                <w:szCs w:val="24"/>
                <w:lang w:eastAsia="zh-CN"/>
              </w:rPr>
            </w:pPr>
            <w:r>
              <w:rPr>
                <w:rFonts w:ascii="Calibri" w:hAnsi="Calibri" w:cs="Calibri"/>
                <w:sz w:val="24"/>
                <w:szCs w:val="24"/>
                <w:lang w:eastAsia="zh-CN"/>
              </w:rPr>
              <w:t>4</w:t>
            </w:r>
          </w:p>
        </w:tc>
      </w:tr>
      <w:tr w:rsidR="00701D81" w:rsidTr="003A12D4">
        <w:trPr>
          <w:cantSplit/>
          <w:trHeight w:val="616"/>
          <w:jc w:val="center"/>
        </w:trPr>
        <w:tc>
          <w:tcPr>
            <w:tcW w:w="440" w:type="dxa"/>
            <w:tcBorders>
              <w:top w:val="nil"/>
              <w:left w:val="single" w:sz="4" w:space="0" w:color="000000"/>
              <w:bottom w:val="single" w:sz="4" w:space="0" w:color="000000"/>
              <w:right w:val="nil"/>
            </w:tcBorders>
            <w:vAlign w:val="center"/>
          </w:tcPr>
          <w:p w:rsidR="00701D81" w:rsidRPr="00427FBC" w:rsidRDefault="00E423F6" w:rsidP="003A12D4">
            <w:pPr>
              <w:suppressAutoHyphens/>
              <w:jc w:val="center"/>
              <w:rPr>
                <w:sz w:val="18"/>
                <w:szCs w:val="18"/>
                <w:lang w:eastAsia="zh-CN"/>
              </w:rPr>
            </w:pPr>
            <w:r>
              <w:rPr>
                <w:sz w:val="18"/>
                <w:szCs w:val="18"/>
                <w:lang w:eastAsia="zh-CN"/>
              </w:rPr>
              <w:t>8</w:t>
            </w:r>
          </w:p>
        </w:tc>
        <w:tc>
          <w:tcPr>
            <w:tcW w:w="3990" w:type="dxa"/>
            <w:tcBorders>
              <w:top w:val="nil"/>
              <w:left w:val="single" w:sz="4" w:space="0" w:color="000000"/>
              <w:bottom w:val="single" w:sz="4" w:space="0" w:color="000000"/>
              <w:right w:val="nil"/>
            </w:tcBorders>
            <w:hideMark/>
          </w:tcPr>
          <w:p w:rsidR="00701D81" w:rsidRPr="00427FBC" w:rsidRDefault="00701D81" w:rsidP="00235B4C">
            <w:pPr>
              <w:suppressAutoHyphens/>
              <w:rPr>
                <w:sz w:val="18"/>
                <w:szCs w:val="18"/>
                <w:lang w:eastAsia="zh-CN"/>
              </w:rPr>
            </w:pPr>
            <w:r w:rsidRPr="00427FBC">
              <w:rPr>
                <w:rFonts w:cs="Tahoma"/>
                <w:sz w:val="18"/>
                <w:szCs w:val="18"/>
              </w:rPr>
              <w:t>Urodzenie martwego dziecka</w:t>
            </w:r>
          </w:p>
        </w:tc>
        <w:tc>
          <w:tcPr>
            <w:tcW w:w="1039" w:type="dxa"/>
            <w:tcBorders>
              <w:top w:val="single" w:sz="4" w:space="0" w:color="000000"/>
              <w:left w:val="single" w:sz="4" w:space="0" w:color="000000"/>
              <w:bottom w:val="single" w:sz="4" w:space="0" w:color="000000"/>
              <w:right w:val="single" w:sz="4" w:space="0" w:color="000000"/>
            </w:tcBorders>
            <w:vAlign w:val="center"/>
          </w:tcPr>
          <w:p w:rsidR="00701D81" w:rsidRPr="00841EF8" w:rsidRDefault="00701D81" w:rsidP="00235B4C">
            <w:pPr>
              <w:suppressAutoHyphens/>
              <w:jc w:val="center"/>
              <w:rPr>
                <w:rFonts w:cs="Tahoma"/>
                <w:b/>
                <w:bCs/>
                <w:sz w:val="18"/>
                <w:szCs w:val="18"/>
              </w:rPr>
            </w:pPr>
            <w:r w:rsidRPr="00841EF8">
              <w:rPr>
                <w:rFonts w:cs="Tahoma"/>
                <w:b/>
                <w:bCs/>
                <w:sz w:val="18"/>
                <w:szCs w:val="18"/>
              </w:rPr>
              <w:t>3 600</w:t>
            </w:r>
          </w:p>
        </w:tc>
        <w:tc>
          <w:tcPr>
            <w:tcW w:w="1039" w:type="dxa"/>
            <w:tcBorders>
              <w:top w:val="single" w:sz="4" w:space="0" w:color="000000"/>
              <w:left w:val="single" w:sz="4" w:space="0" w:color="000000"/>
              <w:bottom w:val="single" w:sz="4" w:space="0" w:color="000000"/>
              <w:right w:val="nil"/>
            </w:tcBorders>
            <w:vAlign w:val="center"/>
          </w:tcPr>
          <w:p w:rsidR="00701D81" w:rsidRPr="00E423F6" w:rsidRDefault="00E423F6" w:rsidP="00235B4C">
            <w:pPr>
              <w:suppressAutoHyphens/>
              <w:jc w:val="center"/>
              <w:rPr>
                <w:b/>
                <w:sz w:val="18"/>
                <w:szCs w:val="18"/>
                <w:lang w:eastAsia="zh-CN"/>
              </w:rPr>
            </w:pPr>
            <w:r w:rsidRPr="00E423F6">
              <w:rPr>
                <w:b/>
                <w:sz w:val="18"/>
                <w:szCs w:val="18"/>
                <w:lang w:eastAsia="zh-CN"/>
              </w:rPr>
              <w:t>200</w:t>
            </w:r>
          </w:p>
        </w:tc>
        <w:tc>
          <w:tcPr>
            <w:tcW w:w="1040" w:type="dxa"/>
            <w:tcBorders>
              <w:top w:val="single" w:sz="4" w:space="0" w:color="000000"/>
              <w:left w:val="single" w:sz="4" w:space="0" w:color="000000"/>
              <w:bottom w:val="single" w:sz="4" w:space="0" w:color="000000"/>
              <w:right w:val="single" w:sz="4" w:space="0" w:color="000000"/>
            </w:tcBorders>
            <w:vAlign w:val="center"/>
          </w:tcPr>
          <w:p w:rsidR="00701D81" w:rsidRPr="00D25FEE" w:rsidRDefault="00D25FEE" w:rsidP="00D25FEE">
            <w:pPr>
              <w:suppressAutoHyphens/>
              <w:snapToGrid w:val="0"/>
              <w:jc w:val="center"/>
              <w:rPr>
                <w:rFonts w:ascii="Calibri" w:hAnsi="Calibri" w:cs="Calibri"/>
                <w:b/>
                <w:sz w:val="18"/>
                <w:szCs w:val="18"/>
                <w:lang w:eastAsia="zh-CN"/>
              </w:rPr>
            </w:pPr>
            <w:r w:rsidRPr="00D25FEE">
              <w:rPr>
                <w:rFonts w:ascii="Calibri" w:hAnsi="Calibri" w:cs="Calibri"/>
                <w:b/>
                <w:sz w:val="18"/>
                <w:szCs w:val="18"/>
                <w:lang w:eastAsia="zh-CN"/>
              </w:rPr>
              <w:t>4 600</w:t>
            </w:r>
          </w:p>
        </w:tc>
        <w:tc>
          <w:tcPr>
            <w:tcW w:w="992" w:type="dxa"/>
            <w:tcBorders>
              <w:top w:val="single" w:sz="4" w:space="0" w:color="000000"/>
              <w:left w:val="single" w:sz="4" w:space="0" w:color="000000"/>
              <w:bottom w:val="single" w:sz="4" w:space="0" w:color="000000"/>
              <w:right w:val="single" w:sz="4" w:space="0" w:color="000000"/>
            </w:tcBorders>
            <w:vAlign w:val="center"/>
          </w:tcPr>
          <w:p w:rsidR="00701D81" w:rsidRDefault="005D1495" w:rsidP="00235B4C">
            <w:pPr>
              <w:suppressAutoHyphens/>
              <w:snapToGrid w:val="0"/>
              <w:jc w:val="center"/>
              <w:rPr>
                <w:rFonts w:ascii="Calibri" w:hAnsi="Calibri" w:cs="Calibri"/>
                <w:sz w:val="24"/>
                <w:szCs w:val="24"/>
                <w:lang w:eastAsia="zh-CN"/>
              </w:rPr>
            </w:pPr>
            <w:r>
              <w:rPr>
                <w:rFonts w:ascii="Calibri" w:hAnsi="Calibri" w:cs="Calibri"/>
                <w:sz w:val="24"/>
                <w:szCs w:val="24"/>
                <w:lang w:eastAsia="zh-CN"/>
              </w:rPr>
              <w:t>5</w:t>
            </w:r>
          </w:p>
        </w:tc>
      </w:tr>
      <w:tr w:rsidR="00701D81" w:rsidTr="003A12D4">
        <w:trPr>
          <w:cantSplit/>
          <w:trHeight w:val="328"/>
          <w:jc w:val="center"/>
        </w:trPr>
        <w:tc>
          <w:tcPr>
            <w:tcW w:w="440" w:type="dxa"/>
            <w:tcBorders>
              <w:top w:val="single" w:sz="4" w:space="0" w:color="000000"/>
              <w:left w:val="single" w:sz="4" w:space="0" w:color="000000"/>
              <w:bottom w:val="single" w:sz="4" w:space="0" w:color="000000"/>
              <w:right w:val="nil"/>
            </w:tcBorders>
            <w:vAlign w:val="center"/>
          </w:tcPr>
          <w:p w:rsidR="00701D81" w:rsidRPr="00427FBC" w:rsidRDefault="00E423F6" w:rsidP="003A12D4">
            <w:pPr>
              <w:suppressAutoHyphens/>
              <w:jc w:val="center"/>
              <w:rPr>
                <w:sz w:val="18"/>
                <w:szCs w:val="18"/>
                <w:lang w:eastAsia="zh-CN"/>
              </w:rPr>
            </w:pPr>
            <w:r>
              <w:rPr>
                <w:sz w:val="18"/>
                <w:szCs w:val="18"/>
                <w:lang w:eastAsia="zh-CN"/>
              </w:rPr>
              <w:t>9</w:t>
            </w:r>
          </w:p>
        </w:tc>
        <w:tc>
          <w:tcPr>
            <w:tcW w:w="3990" w:type="dxa"/>
            <w:tcBorders>
              <w:top w:val="single" w:sz="4" w:space="0" w:color="000000"/>
              <w:left w:val="single" w:sz="4" w:space="0" w:color="000000"/>
              <w:bottom w:val="single" w:sz="4" w:space="0" w:color="000000"/>
              <w:right w:val="nil"/>
            </w:tcBorders>
            <w:hideMark/>
          </w:tcPr>
          <w:p w:rsidR="00701D81" w:rsidRPr="00427FBC" w:rsidRDefault="00701D81" w:rsidP="00235B4C">
            <w:pPr>
              <w:suppressAutoHyphens/>
              <w:rPr>
                <w:sz w:val="18"/>
                <w:szCs w:val="18"/>
                <w:lang w:eastAsia="zh-CN"/>
              </w:rPr>
            </w:pPr>
            <w:r w:rsidRPr="00427FBC">
              <w:rPr>
                <w:rFonts w:cs="Tahoma"/>
                <w:sz w:val="18"/>
                <w:szCs w:val="18"/>
              </w:rPr>
              <w:t>Urodzenie się dziecka</w:t>
            </w:r>
          </w:p>
        </w:tc>
        <w:tc>
          <w:tcPr>
            <w:tcW w:w="1039" w:type="dxa"/>
            <w:tcBorders>
              <w:top w:val="single" w:sz="4" w:space="0" w:color="000000"/>
              <w:left w:val="single" w:sz="4" w:space="0" w:color="000000"/>
              <w:bottom w:val="single" w:sz="4" w:space="0" w:color="000000"/>
              <w:right w:val="single" w:sz="4" w:space="0" w:color="000000"/>
            </w:tcBorders>
            <w:vAlign w:val="center"/>
          </w:tcPr>
          <w:p w:rsidR="00701D81" w:rsidRPr="00841EF8" w:rsidRDefault="00701D81" w:rsidP="00235B4C">
            <w:pPr>
              <w:suppressAutoHyphens/>
              <w:jc w:val="center"/>
              <w:rPr>
                <w:rFonts w:cs="Tahoma"/>
                <w:b/>
                <w:bCs/>
                <w:sz w:val="18"/>
                <w:szCs w:val="18"/>
              </w:rPr>
            </w:pPr>
            <w:r w:rsidRPr="00841EF8">
              <w:rPr>
                <w:rFonts w:cs="Tahoma"/>
                <w:b/>
                <w:bCs/>
                <w:sz w:val="18"/>
                <w:szCs w:val="18"/>
              </w:rPr>
              <w:t>1 800</w:t>
            </w:r>
          </w:p>
        </w:tc>
        <w:tc>
          <w:tcPr>
            <w:tcW w:w="1039" w:type="dxa"/>
            <w:tcBorders>
              <w:top w:val="single" w:sz="4" w:space="0" w:color="000000"/>
              <w:left w:val="single" w:sz="4" w:space="0" w:color="000000"/>
              <w:bottom w:val="single" w:sz="4" w:space="0" w:color="000000"/>
              <w:right w:val="nil"/>
            </w:tcBorders>
            <w:vAlign w:val="center"/>
          </w:tcPr>
          <w:p w:rsidR="00701D81" w:rsidRPr="00E423F6" w:rsidRDefault="00E423F6" w:rsidP="00235B4C">
            <w:pPr>
              <w:suppressAutoHyphens/>
              <w:jc w:val="center"/>
              <w:rPr>
                <w:b/>
                <w:sz w:val="18"/>
                <w:szCs w:val="18"/>
                <w:lang w:eastAsia="zh-CN"/>
              </w:rPr>
            </w:pPr>
            <w:r w:rsidRPr="00E423F6">
              <w:rPr>
                <w:b/>
                <w:sz w:val="18"/>
                <w:szCs w:val="18"/>
                <w:lang w:eastAsia="zh-CN"/>
              </w:rPr>
              <w:t>100</w:t>
            </w:r>
          </w:p>
        </w:tc>
        <w:tc>
          <w:tcPr>
            <w:tcW w:w="1040" w:type="dxa"/>
            <w:tcBorders>
              <w:top w:val="single" w:sz="4" w:space="0" w:color="000000"/>
              <w:left w:val="single" w:sz="4" w:space="0" w:color="000000"/>
              <w:bottom w:val="single" w:sz="4" w:space="0" w:color="000000"/>
              <w:right w:val="single" w:sz="4" w:space="0" w:color="000000"/>
            </w:tcBorders>
            <w:vAlign w:val="center"/>
          </w:tcPr>
          <w:p w:rsidR="00701D81" w:rsidRPr="00D25FEE" w:rsidRDefault="00D25FEE" w:rsidP="00235B4C">
            <w:pPr>
              <w:suppressAutoHyphens/>
              <w:snapToGrid w:val="0"/>
              <w:jc w:val="center"/>
              <w:rPr>
                <w:rFonts w:ascii="Calibri" w:hAnsi="Calibri" w:cs="Calibri"/>
                <w:b/>
                <w:sz w:val="18"/>
                <w:szCs w:val="18"/>
                <w:lang w:eastAsia="zh-CN"/>
              </w:rPr>
            </w:pPr>
            <w:r w:rsidRPr="00D25FEE">
              <w:rPr>
                <w:rFonts w:ascii="Calibri" w:hAnsi="Calibri" w:cs="Calibri"/>
                <w:b/>
                <w:sz w:val="18"/>
                <w:szCs w:val="18"/>
                <w:lang w:eastAsia="zh-CN"/>
              </w:rPr>
              <w:t>2 300</w:t>
            </w:r>
          </w:p>
        </w:tc>
        <w:tc>
          <w:tcPr>
            <w:tcW w:w="992" w:type="dxa"/>
            <w:tcBorders>
              <w:top w:val="single" w:sz="4" w:space="0" w:color="000000"/>
              <w:left w:val="single" w:sz="4" w:space="0" w:color="000000"/>
              <w:bottom w:val="single" w:sz="4" w:space="0" w:color="000000"/>
              <w:right w:val="single" w:sz="4" w:space="0" w:color="000000"/>
            </w:tcBorders>
            <w:vAlign w:val="center"/>
          </w:tcPr>
          <w:p w:rsidR="00701D81" w:rsidRDefault="005D1495" w:rsidP="00235B4C">
            <w:pPr>
              <w:suppressAutoHyphens/>
              <w:snapToGrid w:val="0"/>
              <w:jc w:val="center"/>
              <w:rPr>
                <w:rFonts w:ascii="Calibri" w:hAnsi="Calibri" w:cs="Calibri"/>
                <w:sz w:val="24"/>
                <w:szCs w:val="24"/>
                <w:lang w:eastAsia="zh-CN"/>
              </w:rPr>
            </w:pPr>
            <w:r>
              <w:rPr>
                <w:rFonts w:ascii="Calibri" w:hAnsi="Calibri" w:cs="Calibri"/>
                <w:sz w:val="24"/>
                <w:szCs w:val="24"/>
                <w:lang w:eastAsia="zh-CN"/>
              </w:rPr>
              <w:t>5</w:t>
            </w:r>
          </w:p>
        </w:tc>
      </w:tr>
      <w:tr w:rsidR="00701D81" w:rsidTr="003A12D4">
        <w:trPr>
          <w:cantSplit/>
          <w:trHeight w:val="328"/>
          <w:jc w:val="center"/>
        </w:trPr>
        <w:tc>
          <w:tcPr>
            <w:tcW w:w="440" w:type="dxa"/>
            <w:tcBorders>
              <w:top w:val="nil"/>
              <w:left w:val="single" w:sz="4" w:space="0" w:color="000000"/>
              <w:bottom w:val="single" w:sz="4" w:space="0" w:color="000000"/>
              <w:right w:val="nil"/>
            </w:tcBorders>
            <w:vAlign w:val="center"/>
          </w:tcPr>
          <w:p w:rsidR="00701D81" w:rsidRPr="00427FBC" w:rsidRDefault="00E423F6" w:rsidP="003A12D4">
            <w:pPr>
              <w:suppressAutoHyphens/>
              <w:jc w:val="center"/>
              <w:rPr>
                <w:sz w:val="18"/>
                <w:szCs w:val="18"/>
                <w:lang w:eastAsia="zh-CN"/>
              </w:rPr>
            </w:pPr>
            <w:r>
              <w:rPr>
                <w:sz w:val="18"/>
                <w:szCs w:val="18"/>
                <w:lang w:eastAsia="zh-CN"/>
              </w:rPr>
              <w:t>10</w:t>
            </w:r>
          </w:p>
        </w:tc>
        <w:tc>
          <w:tcPr>
            <w:tcW w:w="3990" w:type="dxa"/>
            <w:tcBorders>
              <w:top w:val="nil"/>
              <w:left w:val="single" w:sz="4" w:space="0" w:color="000000"/>
              <w:bottom w:val="single" w:sz="4" w:space="0" w:color="000000"/>
              <w:right w:val="nil"/>
            </w:tcBorders>
            <w:hideMark/>
          </w:tcPr>
          <w:p w:rsidR="00701D81" w:rsidRPr="00427FBC" w:rsidRDefault="00701D81" w:rsidP="00235B4C">
            <w:pPr>
              <w:suppressAutoHyphens/>
              <w:rPr>
                <w:sz w:val="18"/>
                <w:szCs w:val="18"/>
                <w:lang w:eastAsia="zh-CN"/>
              </w:rPr>
            </w:pPr>
            <w:r w:rsidRPr="00427FBC">
              <w:rPr>
                <w:rFonts w:cs="Tahoma"/>
                <w:sz w:val="18"/>
                <w:szCs w:val="18"/>
              </w:rPr>
              <w:t>Osierocenie dziecka</w:t>
            </w:r>
          </w:p>
        </w:tc>
        <w:tc>
          <w:tcPr>
            <w:tcW w:w="1039" w:type="dxa"/>
            <w:tcBorders>
              <w:top w:val="single" w:sz="4" w:space="0" w:color="000000"/>
              <w:left w:val="single" w:sz="4" w:space="0" w:color="000000"/>
              <w:bottom w:val="single" w:sz="4" w:space="0" w:color="000000"/>
              <w:right w:val="single" w:sz="4" w:space="0" w:color="000000"/>
            </w:tcBorders>
            <w:vAlign w:val="center"/>
          </w:tcPr>
          <w:p w:rsidR="00701D81" w:rsidRPr="00841EF8" w:rsidRDefault="00701D81" w:rsidP="00235B4C">
            <w:pPr>
              <w:suppressAutoHyphens/>
              <w:jc w:val="center"/>
              <w:rPr>
                <w:rFonts w:cs="Tahoma"/>
                <w:b/>
                <w:bCs/>
                <w:sz w:val="18"/>
                <w:szCs w:val="18"/>
              </w:rPr>
            </w:pPr>
            <w:r w:rsidRPr="00841EF8">
              <w:rPr>
                <w:rFonts w:cs="Tahoma"/>
                <w:b/>
                <w:bCs/>
                <w:sz w:val="18"/>
                <w:szCs w:val="18"/>
              </w:rPr>
              <w:t>5 000</w:t>
            </w:r>
          </w:p>
        </w:tc>
        <w:tc>
          <w:tcPr>
            <w:tcW w:w="1039" w:type="dxa"/>
            <w:tcBorders>
              <w:top w:val="single" w:sz="4" w:space="0" w:color="000000"/>
              <w:left w:val="single" w:sz="4" w:space="0" w:color="000000"/>
              <w:bottom w:val="single" w:sz="4" w:space="0" w:color="000000"/>
              <w:right w:val="nil"/>
            </w:tcBorders>
            <w:vAlign w:val="center"/>
          </w:tcPr>
          <w:p w:rsidR="00701D81" w:rsidRPr="00E423F6" w:rsidRDefault="00E423F6" w:rsidP="00235B4C">
            <w:pPr>
              <w:suppressAutoHyphens/>
              <w:jc w:val="center"/>
              <w:rPr>
                <w:b/>
                <w:sz w:val="18"/>
                <w:szCs w:val="18"/>
                <w:lang w:eastAsia="zh-CN"/>
              </w:rPr>
            </w:pPr>
            <w:r w:rsidRPr="00E423F6">
              <w:rPr>
                <w:b/>
                <w:sz w:val="18"/>
                <w:szCs w:val="18"/>
                <w:lang w:eastAsia="zh-CN"/>
              </w:rPr>
              <w:t>6 500</w:t>
            </w:r>
          </w:p>
        </w:tc>
        <w:tc>
          <w:tcPr>
            <w:tcW w:w="1040" w:type="dxa"/>
            <w:tcBorders>
              <w:top w:val="single" w:sz="4" w:space="0" w:color="000000"/>
              <w:left w:val="single" w:sz="4" w:space="0" w:color="000000"/>
              <w:bottom w:val="single" w:sz="4" w:space="0" w:color="000000"/>
              <w:right w:val="single" w:sz="4" w:space="0" w:color="000000"/>
            </w:tcBorders>
            <w:vAlign w:val="center"/>
          </w:tcPr>
          <w:p w:rsidR="00701D81" w:rsidRPr="00D25FEE" w:rsidRDefault="00D25FEE" w:rsidP="00235B4C">
            <w:pPr>
              <w:suppressAutoHyphens/>
              <w:snapToGrid w:val="0"/>
              <w:jc w:val="center"/>
              <w:rPr>
                <w:rFonts w:ascii="Calibri" w:hAnsi="Calibri" w:cs="Calibri"/>
                <w:b/>
                <w:sz w:val="18"/>
                <w:szCs w:val="18"/>
                <w:lang w:eastAsia="zh-CN"/>
              </w:rPr>
            </w:pPr>
            <w:r w:rsidRPr="00D25FEE">
              <w:rPr>
                <w:rFonts w:ascii="Calibri" w:hAnsi="Calibri" w:cs="Calibri"/>
                <w:b/>
                <w:sz w:val="18"/>
                <w:szCs w:val="18"/>
                <w:lang w:eastAsia="zh-CN"/>
              </w:rPr>
              <w:t>7 500</w:t>
            </w:r>
          </w:p>
        </w:tc>
        <w:tc>
          <w:tcPr>
            <w:tcW w:w="992" w:type="dxa"/>
            <w:tcBorders>
              <w:top w:val="single" w:sz="4" w:space="0" w:color="000000"/>
              <w:left w:val="single" w:sz="4" w:space="0" w:color="000000"/>
              <w:bottom w:val="single" w:sz="4" w:space="0" w:color="000000"/>
              <w:right w:val="single" w:sz="4" w:space="0" w:color="000000"/>
            </w:tcBorders>
            <w:vAlign w:val="center"/>
          </w:tcPr>
          <w:p w:rsidR="00701D81" w:rsidRDefault="005D1495" w:rsidP="00235B4C">
            <w:pPr>
              <w:suppressAutoHyphens/>
              <w:snapToGrid w:val="0"/>
              <w:jc w:val="center"/>
              <w:rPr>
                <w:rFonts w:ascii="Calibri" w:hAnsi="Calibri" w:cs="Calibri"/>
                <w:sz w:val="24"/>
                <w:szCs w:val="24"/>
                <w:lang w:eastAsia="zh-CN"/>
              </w:rPr>
            </w:pPr>
            <w:r>
              <w:rPr>
                <w:rFonts w:ascii="Calibri" w:hAnsi="Calibri" w:cs="Calibri"/>
                <w:sz w:val="24"/>
                <w:szCs w:val="24"/>
                <w:lang w:eastAsia="zh-CN"/>
              </w:rPr>
              <w:t>3</w:t>
            </w:r>
          </w:p>
        </w:tc>
      </w:tr>
      <w:tr w:rsidR="00701D81" w:rsidTr="003A12D4">
        <w:trPr>
          <w:cantSplit/>
          <w:trHeight w:val="328"/>
          <w:jc w:val="center"/>
        </w:trPr>
        <w:tc>
          <w:tcPr>
            <w:tcW w:w="440" w:type="dxa"/>
            <w:tcBorders>
              <w:top w:val="nil"/>
              <w:left w:val="single" w:sz="4" w:space="0" w:color="000000"/>
              <w:bottom w:val="single" w:sz="4" w:space="0" w:color="000000"/>
              <w:right w:val="nil"/>
            </w:tcBorders>
            <w:vAlign w:val="center"/>
          </w:tcPr>
          <w:p w:rsidR="00701D81" w:rsidRDefault="00701D81" w:rsidP="003A12D4">
            <w:pPr>
              <w:suppressAutoHyphens/>
              <w:jc w:val="center"/>
              <w:rPr>
                <w:rFonts w:ascii="Calibri" w:hAnsi="Calibri" w:cs="Tahoma"/>
                <w:sz w:val="18"/>
                <w:szCs w:val="18"/>
              </w:rPr>
            </w:pPr>
          </w:p>
        </w:tc>
        <w:tc>
          <w:tcPr>
            <w:tcW w:w="3990" w:type="dxa"/>
            <w:tcBorders>
              <w:top w:val="nil"/>
              <w:left w:val="single" w:sz="4" w:space="0" w:color="000000"/>
              <w:bottom w:val="single" w:sz="4" w:space="0" w:color="000000"/>
              <w:right w:val="nil"/>
            </w:tcBorders>
            <w:vAlign w:val="center"/>
          </w:tcPr>
          <w:p w:rsidR="00701D81" w:rsidRDefault="00701D81" w:rsidP="00D50F1C">
            <w:pPr>
              <w:suppressAutoHyphens/>
              <w:jc w:val="center"/>
              <w:rPr>
                <w:rFonts w:ascii="Calibri" w:hAnsi="Calibri" w:cs="Tahoma"/>
                <w:sz w:val="18"/>
                <w:szCs w:val="18"/>
              </w:rPr>
            </w:pPr>
            <w:r>
              <w:rPr>
                <w:rFonts w:ascii="Calibri" w:hAnsi="Calibri" w:cs="Tahoma"/>
                <w:b/>
                <w:bCs/>
                <w:sz w:val="18"/>
                <w:szCs w:val="18"/>
              </w:rPr>
              <w:t>SKŁADKA</w:t>
            </w:r>
            <w:r w:rsidR="00D50F1C">
              <w:rPr>
                <w:rFonts w:ascii="Calibri" w:hAnsi="Calibri" w:cs="Tahoma"/>
                <w:b/>
                <w:bCs/>
                <w:sz w:val="18"/>
                <w:szCs w:val="18"/>
              </w:rPr>
              <w:t xml:space="preserve"> MIESIĘCZNA NIE WYŻSZA NIŻ </w:t>
            </w:r>
          </w:p>
        </w:tc>
        <w:tc>
          <w:tcPr>
            <w:tcW w:w="1039" w:type="dxa"/>
            <w:tcBorders>
              <w:top w:val="single" w:sz="4" w:space="0" w:color="000000"/>
              <w:left w:val="single" w:sz="4" w:space="0" w:color="000000"/>
              <w:bottom w:val="single" w:sz="4" w:space="0" w:color="000000"/>
              <w:right w:val="single" w:sz="4" w:space="0" w:color="000000"/>
            </w:tcBorders>
            <w:vAlign w:val="center"/>
          </w:tcPr>
          <w:p w:rsidR="00701D81" w:rsidRPr="00841EF8" w:rsidRDefault="00701D81" w:rsidP="00235B4C">
            <w:pPr>
              <w:suppressAutoHyphens/>
              <w:jc w:val="center"/>
              <w:rPr>
                <w:rFonts w:ascii="Calibri" w:hAnsi="Calibri" w:cs="Tahoma"/>
                <w:b/>
                <w:bCs/>
                <w:sz w:val="18"/>
                <w:szCs w:val="18"/>
              </w:rPr>
            </w:pPr>
            <w:r w:rsidRPr="00841EF8">
              <w:rPr>
                <w:rFonts w:ascii="Calibri" w:hAnsi="Calibri" w:cs="Tahoma"/>
                <w:b/>
                <w:bCs/>
                <w:sz w:val="18"/>
                <w:szCs w:val="18"/>
              </w:rPr>
              <w:t>54 zł</w:t>
            </w:r>
          </w:p>
        </w:tc>
        <w:tc>
          <w:tcPr>
            <w:tcW w:w="1039" w:type="dxa"/>
            <w:tcBorders>
              <w:top w:val="single" w:sz="4" w:space="0" w:color="000000"/>
              <w:left w:val="single" w:sz="4" w:space="0" w:color="000000"/>
              <w:bottom w:val="single" w:sz="4" w:space="0" w:color="000000"/>
              <w:right w:val="nil"/>
            </w:tcBorders>
            <w:vAlign w:val="center"/>
          </w:tcPr>
          <w:p w:rsidR="00701D81" w:rsidRDefault="00701D81" w:rsidP="00235B4C">
            <w:pPr>
              <w:suppressAutoHyphens/>
              <w:jc w:val="center"/>
              <w:rPr>
                <w:rFonts w:ascii="Calibri" w:hAnsi="Calibri" w:cs="Tahoma"/>
                <w:b/>
                <w:bCs/>
                <w:sz w:val="18"/>
                <w:szCs w:val="18"/>
              </w:rPr>
            </w:pPr>
            <w:r>
              <w:rPr>
                <w:rFonts w:ascii="Calibri" w:hAnsi="Calibri" w:cs="Tahoma"/>
                <w:b/>
                <w:bCs/>
                <w:sz w:val="18"/>
                <w:szCs w:val="18"/>
              </w:rPr>
              <w:t>65 zł</w:t>
            </w:r>
          </w:p>
        </w:tc>
        <w:tc>
          <w:tcPr>
            <w:tcW w:w="1040" w:type="dxa"/>
            <w:tcBorders>
              <w:top w:val="single" w:sz="4" w:space="0" w:color="000000"/>
              <w:left w:val="single" w:sz="4" w:space="0" w:color="000000"/>
              <w:bottom w:val="single" w:sz="4" w:space="0" w:color="000000"/>
              <w:right w:val="single" w:sz="4" w:space="0" w:color="000000"/>
            </w:tcBorders>
            <w:vAlign w:val="center"/>
          </w:tcPr>
          <w:p w:rsidR="00701D81" w:rsidRDefault="00D50F1C" w:rsidP="00235B4C">
            <w:pPr>
              <w:suppressAutoHyphens/>
              <w:snapToGrid w:val="0"/>
              <w:jc w:val="center"/>
              <w:rPr>
                <w:rFonts w:ascii="Calibri" w:hAnsi="Calibri" w:cs="Calibri"/>
                <w:sz w:val="24"/>
                <w:szCs w:val="24"/>
                <w:lang w:eastAsia="zh-CN"/>
              </w:rPr>
            </w:pPr>
            <w:r>
              <w:rPr>
                <w:rFonts w:ascii="Calibri" w:hAnsi="Calibri" w:cs="Tahoma"/>
                <w:b/>
                <w:bCs/>
                <w:sz w:val="18"/>
                <w:szCs w:val="18"/>
              </w:rPr>
              <w:t>80 zł</w:t>
            </w:r>
          </w:p>
        </w:tc>
        <w:tc>
          <w:tcPr>
            <w:tcW w:w="992" w:type="dxa"/>
            <w:tcBorders>
              <w:top w:val="single" w:sz="4" w:space="0" w:color="000000"/>
              <w:left w:val="single" w:sz="4" w:space="0" w:color="000000"/>
              <w:bottom w:val="single" w:sz="4" w:space="0" w:color="000000"/>
              <w:right w:val="single" w:sz="4" w:space="0" w:color="000000"/>
            </w:tcBorders>
            <w:vAlign w:val="center"/>
          </w:tcPr>
          <w:p w:rsidR="00701D81" w:rsidRDefault="00701D81" w:rsidP="00235B4C">
            <w:pPr>
              <w:suppressAutoHyphens/>
              <w:snapToGrid w:val="0"/>
              <w:jc w:val="center"/>
              <w:rPr>
                <w:rFonts w:ascii="Calibri" w:hAnsi="Calibri" w:cs="Calibri"/>
                <w:sz w:val="24"/>
                <w:szCs w:val="24"/>
                <w:lang w:eastAsia="zh-CN"/>
              </w:rPr>
            </w:pPr>
            <w:r>
              <w:rPr>
                <w:rFonts w:ascii="Calibri" w:hAnsi="Calibri" w:cs="Calibri"/>
                <w:sz w:val="24"/>
                <w:szCs w:val="24"/>
                <w:lang w:eastAsia="zh-CN"/>
              </w:rPr>
              <w:t>X</w:t>
            </w:r>
          </w:p>
        </w:tc>
      </w:tr>
      <w:tr w:rsidR="00701D81" w:rsidTr="003A12D4">
        <w:trPr>
          <w:cantSplit/>
          <w:trHeight w:val="328"/>
          <w:jc w:val="center"/>
        </w:trPr>
        <w:tc>
          <w:tcPr>
            <w:tcW w:w="440" w:type="dxa"/>
            <w:tcBorders>
              <w:top w:val="single" w:sz="4" w:space="0" w:color="000000"/>
              <w:left w:val="single" w:sz="4" w:space="0" w:color="000000"/>
              <w:bottom w:val="single" w:sz="4" w:space="0" w:color="000000"/>
              <w:right w:val="nil"/>
            </w:tcBorders>
            <w:vAlign w:val="center"/>
          </w:tcPr>
          <w:p w:rsidR="00701D81" w:rsidRDefault="00701D81" w:rsidP="003A12D4">
            <w:pPr>
              <w:suppressAutoHyphens/>
              <w:jc w:val="center"/>
              <w:rPr>
                <w:rFonts w:ascii="Calibri" w:hAnsi="Calibri" w:cs="Tahoma"/>
                <w:sz w:val="18"/>
                <w:szCs w:val="18"/>
              </w:rPr>
            </w:pPr>
          </w:p>
        </w:tc>
        <w:tc>
          <w:tcPr>
            <w:tcW w:w="3990" w:type="dxa"/>
            <w:tcBorders>
              <w:top w:val="single" w:sz="4" w:space="0" w:color="000000"/>
              <w:left w:val="single" w:sz="4" w:space="0" w:color="000000"/>
              <w:bottom w:val="single" w:sz="4" w:space="0" w:color="000000"/>
              <w:right w:val="nil"/>
            </w:tcBorders>
            <w:vAlign w:val="center"/>
          </w:tcPr>
          <w:p w:rsidR="00701D81" w:rsidRDefault="00701D81" w:rsidP="00235B4C">
            <w:pPr>
              <w:suppressAutoHyphens/>
              <w:jc w:val="center"/>
              <w:rPr>
                <w:rFonts w:ascii="Calibri" w:hAnsi="Calibri" w:cs="Tahoma"/>
                <w:b/>
                <w:bCs/>
                <w:sz w:val="18"/>
                <w:szCs w:val="18"/>
              </w:rPr>
            </w:pPr>
            <w:r>
              <w:rPr>
                <w:rFonts w:ascii="Calibri" w:hAnsi="Calibri" w:cs="Tahoma"/>
                <w:b/>
                <w:bCs/>
                <w:sz w:val="18"/>
                <w:szCs w:val="18"/>
              </w:rPr>
              <w:t xml:space="preserve">SUMA PUNKTÓW </w:t>
            </w:r>
          </w:p>
        </w:tc>
        <w:tc>
          <w:tcPr>
            <w:tcW w:w="1039" w:type="dxa"/>
            <w:tcBorders>
              <w:top w:val="single" w:sz="4" w:space="0" w:color="000000"/>
              <w:left w:val="single" w:sz="4" w:space="0" w:color="000000"/>
              <w:bottom w:val="single" w:sz="4" w:space="0" w:color="000000"/>
              <w:right w:val="single" w:sz="4" w:space="0" w:color="000000"/>
            </w:tcBorders>
            <w:vAlign w:val="center"/>
          </w:tcPr>
          <w:p w:rsidR="00701D81" w:rsidRDefault="00701D81" w:rsidP="00235B4C">
            <w:pPr>
              <w:suppressAutoHyphens/>
              <w:jc w:val="center"/>
              <w:rPr>
                <w:rFonts w:ascii="Calibri" w:hAnsi="Calibri" w:cs="Tahoma"/>
                <w:b/>
                <w:bCs/>
                <w:sz w:val="18"/>
                <w:szCs w:val="18"/>
              </w:rPr>
            </w:pPr>
            <w:r>
              <w:rPr>
                <w:rFonts w:ascii="Calibri" w:hAnsi="Calibri" w:cs="Tahoma"/>
                <w:b/>
                <w:bCs/>
                <w:sz w:val="18"/>
                <w:szCs w:val="18"/>
              </w:rPr>
              <w:t>X</w:t>
            </w:r>
          </w:p>
        </w:tc>
        <w:tc>
          <w:tcPr>
            <w:tcW w:w="1039" w:type="dxa"/>
            <w:tcBorders>
              <w:top w:val="single" w:sz="4" w:space="0" w:color="000000"/>
              <w:left w:val="single" w:sz="4" w:space="0" w:color="000000"/>
              <w:bottom w:val="single" w:sz="4" w:space="0" w:color="000000"/>
              <w:right w:val="nil"/>
            </w:tcBorders>
            <w:vAlign w:val="center"/>
          </w:tcPr>
          <w:p w:rsidR="00701D81" w:rsidRDefault="00701D81" w:rsidP="00235B4C">
            <w:pPr>
              <w:suppressAutoHyphens/>
              <w:jc w:val="center"/>
              <w:rPr>
                <w:rFonts w:ascii="Calibri" w:hAnsi="Calibri" w:cs="Tahoma"/>
                <w:b/>
                <w:bCs/>
                <w:sz w:val="18"/>
                <w:szCs w:val="18"/>
              </w:rPr>
            </w:pPr>
            <w:r>
              <w:rPr>
                <w:rFonts w:ascii="Calibri" w:hAnsi="Calibri" w:cs="Tahoma"/>
                <w:b/>
                <w:bCs/>
                <w:sz w:val="18"/>
                <w:szCs w:val="18"/>
              </w:rPr>
              <w:t>X</w:t>
            </w:r>
          </w:p>
        </w:tc>
        <w:tc>
          <w:tcPr>
            <w:tcW w:w="1040" w:type="dxa"/>
            <w:tcBorders>
              <w:top w:val="single" w:sz="4" w:space="0" w:color="000000"/>
              <w:left w:val="single" w:sz="4" w:space="0" w:color="000000"/>
              <w:bottom w:val="single" w:sz="4" w:space="0" w:color="000000"/>
              <w:right w:val="single" w:sz="4" w:space="0" w:color="000000"/>
            </w:tcBorders>
            <w:vAlign w:val="center"/>
          </w:tcPr>
          <w:p w:rsidR="00701D81" w:rsidRDefault="00701D81" w:rsidP="00235B4C">
            <w:pPr>
              <w:suppressAutoHyphens/>
              <w:snapToGrid w:val="0"/>
              <w:jc w:val="center"/>
              <w:rPr>
                <w:rFonts w:ascii="Calibri" w:hAnsi="Calibri" w:cs="Calibri"/>
                <w:sz w:val="24"/>
                <w:szCs w:val="24"/>
                <w:lang w:eastAsia="zh-CN"/>
              </w:rPr>
            </w:pPr>
            <w:r>
              <w:rPr>
                <w:rFonts w:ascii="Calibri" w:hAnsi="Calibri" w:cs="Calibri"/>
                <w:sz w:val="24"/>
                <w:szCs w:val="24"/>
                <w:lang w:eastAsia="zh-CN"/>
              </w:rPr>
              <w:t>X</w:t>
            </w:r>
          </w:p>
        </w:tc>
        <w:tc>
          <w:tcPr>
            <w:tcW w:w="992" w:type="dxa"/>
            <w:tcBorders>
              <w:top w:val="single" w:sz="4" w:space="0" w:color="000000"/>
              <w:left w:val="single" w:sz="4" w:space="0" w:color="000000"/>
              <w:bottom w:val="single" w:sz="4" w:space="0" w:color="000000"/>
              <w:right w:val="single" w:sz="4" w:space="0" w:color="000000"/>
            </w:tcBorders>
            <w:vAlign w:val="center"/>
          </w:tcPr>
          <w:p w:rsidR="00701D81" w:rsidRDefault="00701D81" w:rsidP="003A12D4">
            <w:pPr>
              <w:suppressAutoHyphens/>
              <w:snapToGrid w:val="0"/>
              <w:jc w:val="center"/>
              <w:rPr>
                <w:rFonts w:ascii="Calibri" w:hAnsi="Calibri" w:cs="Calibri"/>
                <w:sz w:val="24"/>
                <w:szCs w:val="24"/>
                <w:lang w:eastAsia="zh-CN"/>
              </w:rPr>
            </w:pPr>
            <w:r>
              <w:rPr>
                <w:rFonts w:ascii="Calibri" w:hAnsi="Calibri" w:cs="Calibri"/>
                <w:sz w:val="24"/>
                <w:szCs w:val="24"/>
                <w:lang w:eastAsia="zh-CN"/>
              </w:rPr>
              <w:t>1</w:t>
            </w:r>
            <w:r w:rsidR="003A12D4">
              <w:rPr>
                <w:rFonts w:ascii="Calibri" w:hAnsi="Calibri" w:cs="Calibri"/>
                <w:sz w:val="24"/>
                <w:szCs w:val="24"/>
                <w:lang w:eastAsia="zh-CN"/>
              </w:rPr>
              <w:t>00</w:t>
            </w:r>
          </w:p>
        </w:tc>
      </w:tr>
    </w:tbl>
    <w:p w:rsidR="00747EC4" w:rsidRPr="00747EC4" w:rsidRDefault="00747EC4" w:rsidP="00AD1529">
      <w:pPr>
        <w:ind w:left="567" w:hanging="425"/>
      </w:pPr>
    </w:p>
    <w:sectPr w:rsidR="00747EC4" w:rsidRPr="00747EC4" w:rsidSect="00C16F74">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17AD" w:rsidRDefault="00F417AD" w:rsidP="00D43406">
      <w:pPr>
        <w:spacing w:after="0" w:line="240" w:lineRule="auto"/>
      </w:pPr>
      <w:r>
        <w:separator/>
      </w:r>
    </w:p>
  </w:endnote>
  <w:endnote w:type="continuationSeparator" w:id="1">
    <w:p w:rsidR="00F417AD" w:rsidRDefault="00F417AD" w:rsidP="00D434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HelveticaEE">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Arial-BoldMT">
    <w:altName w:val="Times New Roman"/>
    <w:panose1 w:val="00000000000000000000"/>
    <w:charset w:val="EE"/>
    <w:family w:val="auto"/>
    <w:notTrueType/>
    <w:pitch w:val="default"/>
    <w:sig w:usb0="00000001" w:usb1="00000000" w:usb2="00000000" w:usb3="00000000" w:csb0="00000003" w:csb1="00000000"/>
  </w:font>
  <w:font w:name="StoneSansPl">
    <w:altName w:val="Times New Roman"/>
    <w:panose1 w:val="00000000000000000000"/>
    <w:charset w:val="00"/>
    <w:family w:val="auto"/>
    <w:notTrueType/>
    <w:pitch w:val="default"/>
    <w:sig w:usb0="00000007" w:usb1="00000000" w:usb2="00000000" w:usb3="00000000" w:csb0="00000003" w:csb1="00000000"/>
  </w:font>
  <w:font w:name="ArialMT">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3EE9" w:rsidRDefault="00B63EE9">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52060"/>
      <w:docPartObj>
        <w:docPartGallery w:val="Page Numbers (Bottom of Page)"/>
        <w:docPartUnique/>
      </w:docPartObj>
    </w:sdtPr>
    <w:sdtContent>
      <w:p w:rsidR="00B63EE9" w:rsidRDefault="00213A13">
        <w:pPr>
          <w:pStyle w:val="Stopka"/>
          <w:jc w:val="right"/>
        </w:pPr>
        <w:r>
          <w:fldChar w:fldCharType="begin"/>
        </w:r>
        <w:r w:rsidR="00602404">
          <w:instrText xml:space="preserve"> PAGE   \* MERGEFORMAT </w:instrText>
        </w:r>
        <w:r>
          <w:fldChar w:fldCharType="separate"/>
        </w:r>
        <w:r w:rsidR="00A15AA4">
          <w:rPr>
            <w:noProof/>
          </w:rPr>
          <w:t>15</w:t>
        </w:r>
        <w:r>
          <w:rPr>
            <w:noProof/>
          </w:rPr>
          <w:fldChar w:fldCharType="end"/>
        </w:r>
      </w:p>
    </w:sdtContent>
  </w:sdt>
  <w:p w:rsidR="00A67211" w:rsidRDefault="00A67211">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3EE9" w:rsidRDefault="00B63EE9">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17AD" w:rsidRDefault="00F417AD" w:rsidP="00D43406">
      <w:pPr>
        <w:spacing w:after="0" w:line="240" w:lineRule="auto"/>
      </w:pPr>
      <w:r>
        <w:separator/>
      </w:r>
    </w:p>
  </w:footnote>
  <w:footnote w:type="continuationSeparator" w:id="1">
    <w:p w:rsidR="00F417AD" w:rsidRDefault="00F417AD" w:rsidP="00D4340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3EE9" w:rsidRDefault="00B63EE9">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3EE9" w:rsidRDefault="00B63EE9">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3EE9" w:rsidRDefault="00B63EE9">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8277ABC"/>
    <w:multiLevelType w:val="hybridMultilevel"/>
    <w:tmpl w:val="1C7E699A"/>
    <w:lvl w:ilvl="0" w:tplc="27646DF6">
      <w:start w:val="1"/>
      <w:numFmt w:val="decimal"/>
      <w:lvlText w:val="%1."/>
      <w:lvlJc w:val="left"/>
      <w:pPr>
        <w:ind w:left="720" w:hanging="360"/>
      </w:pPr>
      <w:rPr>
        <w:rFonts w:cstheme="minorBidi"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9DF55F9"/>
    <w:multiLevelType w:val="hybridMultilevel"/>
    <w:tmpl w:val="DA127F4A"/>
    <w:lvl w:ilvl="0" w:tplc="57363DB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0025EA9"/>
    <w:multiLevelType w:val="hybridMultilevel"/>
    <w:tmpl w:val="9CE45F16"/>
    <w:lvl w:ilvl="0" w:tplc="6D26E780">
      <w:start w:val="1"/>
      <w:numFmt w:val="decimal"/>
      <w:lvlText w:val="%1."/>
      <w:lvlJc w:val="left"/>
      <w:pPr>
        <w:ind w:left="1636" w:hanging="57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
    <w:nsid w:val="32261AC2"/>
    <w:multiLevelType w:val="hybridMultilevel"/>
    <w:tmpl w:val="6C06B680"/>
    <w:lvl w:ilvl="0" w:tplc="6D26E780">
      <w:start w:val="1"/>
      <w:numFmt w:val="decimal"/>
      <w:lvlText w:val="%1."/>
      <w:lvlJc w:val="left"/>
      <w:pPr>
        <w:ind w:left="1211" w:hanging="57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5">
    <w:nsid w:val="340D10BA"/>
    <w:multiLevelType w:val="hybridMultilevel"/>
    <w:tmpl w:val="BB66CB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50947F71"/>
    <w:multiLevelType w:val="hybridMultilevel"/>
    <w:tmpl w:val="BE1242FE"/>
    <w:lvl w:ilvl="0" w:tplc="6D26E780">
      <w:start w:val="1"/>
      <w:numFmt w:val="decimal"/>
      <w:lvlText w:val="%1."/>
      <w:lvlJc w:val="left"/>
      <w:pPr>
        <w:ind w:left="1069" w:hanging="570"/>
      </w:pPr>
      <w:rPr>
        <w:rFonts w:hint="default"/>
      </w:rPr>
    </w:lvl>
    <w:lvl w:ilvl="1" w:tplc="04150019" w:tentative="1">
      <w:start w:val="1"/>
      <w:numFmt w:val="lowerLetter"/>
      <w:lvlText w:val="%2."/>
      <w:lvlJc w:val="left"/>
      <w:pPr>
        <w:ind w:left="1579" w:hanging="360"/>
      </w:pPr>
    </w:lvl>
    <w:lvl w:ilvl="2" w:tplc="0415001B" w:tentative="1">
      <w:start w:val="1"/>
      <w:numFmt w:val="lowerRoman"/>
      <w:lvlText w:val="%3."/>
      <w:lvlJc w:val="right"/>
      <w:pPr>
        <w:ind w:left="2299" w:hanging="180"/>
      </w:pPr>
    </w:lvl>
    <w:lvl w:ilvl="3" w:tplc="0415000F" w:tentative="1">
      <w:start w:val="1"/>
      <w:numFmt w:val="decimal"/>
      <w:lvlText w:val="%4."/>
      <w:lvlJc w:val="left"/>
      <w:pPr>
        <w:ind w:left="3019" w:hanging="360"/>
      </w:pPr>
    </w:lvl>
    <w:lvl w:ilvl="4" w:tplc="04150019" w:tentative="1">
      <w:start w:val="1"/>
      <w:numFmt w:val="lowerLetter"/>
      <w:lvlText w:val="%5."/>
      <w:lvlJc w:val="left"/>
      <w:pPr>
        <w:ind w:left="3739" w:hanging="360"/>
      </w:pPr>
    </w:lvl>
    <w:lvl w:ilvl="5" w:tplc="0415001B" w:tentative="1">
      <w:start w:val="1"/>
      <w:numFmt w:val="lowerRoman"/>
      <w:lvlText w:val="%6."/>
      <w:lvlJc w:val="right"/>
      <w:pPr>
        <w:ind w:left="4459" w:hanging="180"/>
      </w:pPr>
    </w:lvl>
    <w:lvl w:ilvl="6" w:tplc="0415000F" w:tentative="1">
      <w:start w:val="1"/>
      <w:numFmt w:val="decimal"/>
      <w:lvlText w:val="%7."/>
      <w:lvlJc w:val="left"/>
      <w:pPr>
        <w:ind w:left="5179" w:hanging="360"/>
      </w:pPr>
    </w:lvl>
    <w:lvl w:ilvl="7" w:tplc="04150019" w:tentative="1">
      <w:start w:val="1"/>
      <w:numFmt w:val="lowerLetter"/>
      <w:lvlText w:val="%8."/>
      <w:lvlJc w:val="left"/>
      <w:pPr>
        <w:ind w:left="5899" w:hanging="360"/>
      </w:pPr>
    </w:lvl>
    <w:lvl w:ilvl="8" w:tplc="0415001B" w:tentative="1">
      <w:start w:val="1"/>
      <w:numFmt w:val="lowerRoman"/>
      <w:lvlText w:val="%9."/>
      <w:lvlJc w:val="right"/>
      <w:pPr>
        <w:ind w:left="6619" w:hanging="180"/>
      </w:pPr>
    </w:lvl>
  </w:abstractNum>
  <w:abstractNum w:abstractNumId="7">
    <w:nsid w:val="561D4E9F"/>
    <w:multiLevelType w:val="hybridMultilevel"/>
    <w:tmpl w:val="B6FA0EE8"/>
    <w:lvl w:ilvl="0" w:tplc="6D26E780">
      <w:start w:val="1"/>
      <w:numFmt w:val="decimal"/>
      <w:lvlText w:val="%1."/>
      <w:lvlJc w:val="left"/>
      <w:pPr>
        <w:ind w:left="930" w:hanging="57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568A321E"/>
    <w:multiLevelType w:val="hybridMultilevel"/>
    <w:tmpl w:val="C39CB8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5AE12E9A"/>
    <w:multiLevelType w:val="hybridMultilevel"/>
    <w:tmpl w:val="100AB068"/>
    <w:lvl w:ilvl="0" w:tplc="0415000F">
      <w:start w:val="1"/>
      <w:numFmt w:val="decimal"/>
      <w:lvlText w:val="%1."/>
      <w:lvlJc w:val="left"/>
      <w:pPr>
        <w:ind w:left="720" w:hanging="360"/>
      </w:pPr>
      <w:rPr>
        <w:rFonts w:hint="default"/>
      </w:rPr>
    </w:lvl>
    <w:lvl w:ilvl="1" w:tplc="CFBACE98">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pStyle w:val="Nagwek4"/>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60090A76"/>
    <w:multiLevelType w:val="hybridMultilevel"/>
    <w:tmpl w:val="FD762BA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71371CA2"/>
    <w:multiLevelType w:val="hybridMultilevel"/>
    <w:tmpl w:val="387AF3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7B9A17A5"/>
    <w:multiLevelType w:val="hybridMultilevel"/>
    <w:tmpl w:val="B6FA0EE8"/>
    <w:lvl w:ilvl="0" w:tplc="6D26E780">
      <w:start w:val="1"/>
      <w:numFmt w:val="decimal"/>
      <w:lvlText w:val="%1."/>
      <w:lvlJc w:val="left"/>
      <w:pPr>
        <w:ind w:left="930" w:hanging="57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7BE9694B"/>
    <w:multiLevelType w:val="hybridMultilevel"/>
    <w:tmpl w:val="E070BB8C"/>
    <w:lvl w:ilvl="0" w:tplc="6D26E780">
      <w:start w:val="1"/>
      <w:numFmt w:val="decimal"/>
      <w:lvlText w:val="%1."/>
      <w:lvlJc w:val="left"/>
      <w:pPr>
        <w:ind w:left="930" w:hanging="57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9"/>
  </w:num>
  <w:num w:numId="3">
    <w:abstractNumId w:val="11"/>
  </w:num>
  <w:num w:numId="4">
    <w:abstractNumId w:val="10"/>
  </w:num>
  <w:num w:numId="5">
    <w:abstractNumId w:val="13"/>
  </w:num>
  <w:num w:numId="6">
    <w:abstractNumId w:val="12"/>
  </w:num>
  <w:num w:numId="7">
    <w:abstractNumId w:val="7"/>
  </w:num>
  <w:num w:numId="8">
    <w:abstractNumId w:val="6"/>
  </w:num>
  <w:num w:numId="9">
    <w:abstractNumId w:val="1"/>
  </w:num>
  <w:num w:numId="10">
    <w:abstractNumId w:val="3"/>
  </w:num>
  <w:num w:numId="11">
    <w:abstractNumId w:val="4"/>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3D4CBE"/>
    <w:rsid w:val="000177E8"/>
    <w:rsid w:val="00026E63"/>
    <w:rsid w:val="00080B18"/>
    <w:rsid w:val="000B17B2"/>
    <w:rsid w:val="000D63D8"/>
    <w:rsid w:val="0013001B"/>
    <w:rsid w:val="00140590"/>
    <w:rsid w:val="00154421"/>
    <w:rsid w:val="00157144"/>
    <w:rsid w:val="00157B29"/>
    <w:rsid w:val="001D358D"/>
    <w:rsid w:val="00213A13"/>
    <w:rsid w:val="00235B4C"/>
    <w:rsid w:val="002470A0"/>
    <w:rsid w:val="00265993"/>
    <w:rsid w:val="00286FAA"/>
    <w:rsid w:val="0029183A"/>
    <w:rsid w:val="00295909"/>
    <w:rsid w:val="002B51F6"/>
    <w:rsid w:val="002E5621"/>
    <w:rsid w:val="003752CE"/>
    <w:rsid w:val="0038268C"/>
    <w:rsid w:val="003A12D4"/>
    <w:rsid w:val="003B12D0"/>
    <w:rsid w:val="003B4908"/>
    <w:rsid w:val="003D36C9"/>
    <w:rsid w:val="003D4CBE"/>
    <w:rsid w:val="003E6752"/>
    <w:rsid w:val="004025BF"/>
    <w:rsid w:val="00421792"/>
    <w:rsid w:val="00427FBC"/>
    <w:rsid w:val="004363D9"/>
    <w:rsid w:val="00452975"/>
    <w:rsid w:val="00492463"/>
    <w:rsid w:val="00496E3F"/>
    <w:rsid w:val="004B424B"/>
    <w:rsid w:val="004C3A75"/>
    <w:rsid w:val="00537766"/>
    <w:rsid w:val="00545798"/>
    <w:rsid w:val="00552C5E"/>
    <w:rsid w:val="00573C0A"/>
    <w:rsid w:val="00592251"/>
    <w:rsid w:val="0059645A"/>
    <w:rsid w:val="005A304E"/>
    <w:rsid w:val="005B72AF"/>
    <w:rsid w:val="005D1495"/>
    <w:rsid w:val="005F16A0"/>
    <w:rsid w:val="00602404"/>
    <w:rsid w:val="00656617"/>
    <w:rsid w:val="00665090"/>
    <w:rsid w:val="00670044"/>
    <w:rsid w:val="00690F04"/>
    <w:rsid w:val="006B7533"/>
    <w:rsid w:val="006E31A6"/>
    <w:rsid w:val="00701D81"/>
    <w:rsid w:val="00747EC4"/>
    <w:rsid w:val="00787388"/>
    <w:rsid w:val="00841EF8"/>
    <w:rsid w:val="00877816"/>
    <w:rsid w:val="008A0D4A"/>
    <w:rsid w:val="008A3BF0"/>
    <w:rsid w:val="008C3D5C"/>
    <w:rsid w:val="00945980"/>
    <w:rsid w:val="0095561C"/>
    <w:rsid w:val="00972C21"/>
    <w:rsid w:val="0099233F"/>
    <w:rsid w:val="00995C85"/>
    <w:rsid w:val="009D6D46"/>
    <w:rsid w:val="009E0347"/>
    <w:rsid w:val="009F5051"/>
    <w:rsid w:val="00A15AA4"/>
    <w:rsid w:val="00A67211"/>
    <w:rsid w:val="00A702AE"/>
    <w:rsid w:val="00A851CD"/>
    <w:rsid w:val="00AD1529"/>
    <w:rsid w:val="00B104CD"/>
    <w:rsid w:val="00B63EE9"/>
    <w:rsid w:val="00BC63C2"/>
    <w:rsid w:val="00BD1BB4"/>
    <w:rsid w:val="00BD31C2"/>
    <w:rsid w:val="00BE478C"/>
    <w:rsid w:val="00C012FF"/>
    <w:rsid w:val="00C16F74"/>
    <w:rsid w:val="00C3783A"/>
    <w:rsid w:val="00C90E1D"/>
    <w:rsid w:val="00CB3A81"/>
    <w:rsid w:val="00CB5662"/>
    <w:rsid w:val="00CC54C2"/>
    <w:rsid w:val="00CC60B3"/>
    <w:rsid w:val="00CF0B0F"/>
    <w:rsid w:val="00D25FEE"/>
    <w:rsid w:val="00D43406"/>
    <w:rsid w:val="00D46D45"/>
    <w:rsid w:val="00D50F1C"/>
    <w:rsid w:val="00DB4D6E"/>
    <w:rsid w:val="00DC264F"/>
    <w:rsid w:val="00E27F8E"/>
    <w:rsid w:val="00E32676"/>
    <w:rsid w:val="00E423F6"/>
    <w:rsid w:val="00EC616D"/>
    <w:rsid w:val="00EE738D"/>
    <w:rsid w:val="00EF243A"/>
    <w:rsid w:val="00F417AD"/>
    <w:rsid w:val="00F54EA1"/>
    <w:rsid w:val="00F63779"/>
    <w:rsid w:val="00F73815"/>
    <w:rsid w:val="00F8522B"/>
    <w:rsid w:val="00FA1E6B"/>
    <w:rsid w:val="00FA7FCA"/>
    <w:rsid w:val="00FD1247"/>
    <w:rsid w:val="00FD4C45"/>
    <w:rsid w:val="00FF0F5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32676"/>
  </w:style>
  <w:style w:type="paragraph" w:styleId="Nagwek4">
    <w:name w:val="heading 4"/>
    <w:basedOn w:val="Normalny"/>
    <w:next w:val="Normalny"/>
    <w:link w:val="Nagwek4Znak"/>
    <w:unhideWhenUsed/>
    <w:qFormat/>
    <w:rsid w:val="00286FAA"/>
    <w:pPr>
      <w:keepNext/>
      <w:numPr>
        <w:ilvl w:val="3"/>
        <w:numId w:val="2"/>
      </w:numPr>
      <w:suppressAutoHyphens/>
      <w:spacing w:after="0" w:line="240" w:lineRule="auto"/>
      <w:jc w:val="both"/>
      <w:outlineLvl w:val="3"/>
    </w:pPr>
    <w:rPr>
      <w:rFonts w:ascii="Times New Roman" w:eastAsia="Times New Roman" w:hAnsi="Times New Roman" w:cs="Times New Roman"/>
      <w:sz w:val="24"/>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retekstu">
    <w:name w:val="Treść tekstu"/>
    <w:basedOn w:val="Normalny"/>
    <w:rsid w:val="003D4CBE"/>
    <w:pPr>
      <w:suppressAutoHyphens/>
      <w:spacing w:after="0" w:line="100" w:lineRule="atLeast"/>
    </w:pPr>
    <w:rPr>
      <w:rFonts w:ascii="HelveticaEE" w:eastAsia="Times New Roman" w:hAnsi="HelveticaEE" w:cs="Times New Roman"/>
      <w:color w:val="000000"/>
      <w:sz w:val="20"/>
      <w:szCs w:val="20"/>
      <w:lang w:val="cs-CZ" w:eastAsia="pl-PL"/>
    </w:rPr>
  </w:style>
  <w:style w:type="paragraph" w:styleId="Akapitzlist">
    <w:name w:val="List Paragraph"/>
    <w:basedOn w:val="Normalny"/>
    <w:uiPriority w:val="34"/>
    <w:qFormat/>
    <w:rsid w:val="003D4CBE"/>
    <w:pPr>
      <w:ind w:left="720"/>
      <w:contextualSpacing/>
    </w:pPr>
  </w:style>
  <w:style w:type="table" w:styleId="Tabela-Siatka">
    <w:name w:val="Table Grid"/>
    <w:basedOn w:val="Standardowy"/>
    <w:uiPriority w:val="39"/>
    <w:rsid w:val="003D4C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gwek4Znak">
    <w:name w:val="Nagłówek 4 Znak"/>
    <w:basedOn w:val="Domylnaczcionkaakapitu"/>
    <w:link w:val="Nagwek4"/>
    <w:rsid w:val="00286FAA"/>
    <w:rPr>
      <w:rFonts w:ascii="Times New Roman" w:eastAsia="Times New Roman" w:hAnsi="Times New Roman" w:cs="Times New Roman"/>
      <w:sz w:val="24"/>
      <w:szCs w:val="20"/>
      <w:lang w:eastAsia="zh-CN"/>
    </w:rPr>
  </w:style>
  <w:style w:type="paragraph" w:styleId="Nagwek">
    <w:name w:val="header"/>
    <w:basedOn w:val="Normalny"/>
    <w:link w:val="NagwekZnak"/>
    <w:uiPriority w:val="99"/>
    <w:unhideWhenUsed/>
    <w:rsid w:val="00D4340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43406"/>
  </w:style>
  <w:style w:type="paragraph" w:styleId="Stopka">
    <w:name w:val="footer"/>
    <w:basedOn w:val="Normalny"/>
    <w:link w:val="StopkaZnak"/>
    <w:uiPriority w:val="99"/>
    <w:unhideWhenUsed/>
    <w:rsid w:val="00D4340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43406"/>
  </w:style>
  <w:style w:type="paragraph" w:styleId="Tekstdymka">
    <w:name w:val="Balloon Text"/>
    <w:basedOn w:val="Normalny"/>
    <w:link w:val="TekstdymkaZnak"/>
    <w:uiPriority w:val="99"/>
    <w:semiHidden/>
    <w:unhideWhenUsed/>
    <w:rsid w:val="00D4340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4340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4">
    <w:name w:val="heading 4"/>
    <w:basedOn w:val="Normalny"/>
    <w:next w:val="Normalny"/>
    <w:link w:val="Nagwek4Znak"/>
    <w:unhideWhenUsed/>
    <w:qFormat/>
    <w:rsid w:val="00286FAA"/>
    <w:pPr>
      <w:keepNext/>
      <w:numPr>
        <w:ilvl w:val="3"/>
        <w:numId w:val="2"/>
      </w:numPr>
      <w:suppressAutoHyphens/>
      <w:spacing w:after="0" w:line="240" w:lineRule="auto"/>
      <w:jc w:val="both"/>
      <w:outlineLvl w:val="3"/>
    </w:pPr>
    <w:rPr>
      <w:rFonts w:ascii="Times New Roman" w:eastAsia="Times New Roman" w:hAnsi="Times New Roman" w:cs="Times New Roman"/>
      <w:sz w:val="24"/>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retekstu">
    <w:name w:val="Treść tekstu"/>
    <w:basedOn w:val="Normalny"/>
    <w:rsid w:val="003D4CBE"/>
    <w:pPr>
      <w:suppressAutoHyphens/>
      <w:spacing w:after="0" w:line="100" w:lineRule="atLeast"/>
    </w:pPr>
    <w:rPr>
      <w:rFonts w:ascii="HelveticaEE" w:eastAsia="Times New Roman" w:hAnsi="HelveticaEE" w:cs="Times New Roman"/>
      <w:color w:val="000000"/>
      <w:sz w:val="20"/>
      <w:szCs w:val="20"/>
      <w:lang w:val="cs-CZ" w:eastAsia="pl-PL"/>
    </w:rPr>
  </w:style>
  <w:style w:type="paragraph" w:styleId="Akapitzlist">
    <w:name w:val="List Paragraph"/>
    <w:basedOn w:val="Normalny"/>
    <w:uiPriority w:val="34"/>
    <w:qFormat/>
    <w:rsid w:val="003D4CBE"/>
    <w:pPr>
      <w:ind w:left="720"/>
      <w:contextualSpacing/>
    </w:pPr>
  </w:style>
  <w:style w:type="table" w:styleId="Tabela-Siatka">
    <w:name w:val="Table Grid"/>
    <w:basedOn w:val="Standardowy"/>
    <w:uiPriority w:val="39"/>
    <w:rsid w:val="003D4C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4Znak">
    <w:name w:val="Nagłówek 4 Znak"/>
    <w:basedOn w:val="Domylnaczcionkaakapitu"/>
    <w:link w:val="Nagwek4"/>
    <w:rsid w:val="00286FAA"/>
    <w:rPr>
      <w:rFonts w:ascii="Times New Roman" w:eastAsia="Times New Roman" w:hAnsi="Times New Roman" w:cs="Times New Roman"/>
      <w:sz w:val="24"/>
      <w:szCs w:val="20"/>
      <w:lang w:eastAsia="zh-CN"/>
    </w:rPr>
  </w:style>
  <w:style w:type="paragraph" w:styleId="Nagwek">
    <w:name w:val="header"/>
    <w:basedOn w:val="Normalny"/>
    <w:link w:val="NagwekZnak"/>
    <w:uiPriority w:val="99"/>
    <w:unhideWhenUsed/>
    <w:rsid w:val="00D4340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43406"/>
  </w:style>
  <w:style w:type="paragraph" w:styleId="Stopka">
    <w:name w:val="footer"/>
    <w:basedOn w:val="Normalny"/>
    <w:link w:val="StopkaZnak"/>
    <w:uiPriority w:val="99"/>
    <w:unhideWhenUsed/>
    <w:rsid w:val="00D4340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43406"/>
  </w:style>
  <w:style w:type="paragraph" w:styleId="Tekstdymka">
    <w:name w:val="Balloon Text"/>
    <w:basedOn w:val="Normalny"/>
    <w:link w:val="TekstdymkaZnak"/>
    <w:uiPriority w:val="99"/>
    <w:semiHidden/>
    <w:unhideWhenUsed/>
    <w:rsid w:val="00D4340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4340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50308282">
      <w:bodyDiv w:val="1"/>
      <w:marLeft w:val="0"/>
      <w:marRight w:val="0"/>
      <w:marTop w:val="0"/>
      <w:marBottom w:val="0"/>
      <w:divBdr>
        <w:top w:val="none" w:sz="0" w:space="0" w:color="auto"/>
        <w:left w:val="none" w:sz="0" w:space="0" w:color="auto"/>
        <w:bottom w:val="none" w:sz="0" w:space="0" w:color="auto"/>
        <w:right w:val="none" w:sz="0" w:space="0" w:color="auto"/>
      </w:divBdr>
    </w:div>
    <w:div w:id="2117283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93325D-78BF-4871-A186-0DB9A6F59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6409</Words>
  <Characters>38457</Characters>
  <Application>Microsoft Office Word</Application>
  <DocSecurity>0</DocSecurity>
  <Lines>320</Lines>
  <Paragraphs>89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sodogsxr</dc:creator>
  <cp:lastModifiedBy>atyrała</cp:lastModifiedBy>
  <cp:revision>4</cp:revision>
  <cp:lastPrinted>2016-12-22T09:10:00Z</cp:lastPrinted>
  <dcterms:created xsi:type="dcterms:W3CDTF">2016-12-22T08:53:00Z</dcterms:created>
  <dcterms:modified xsi:type="dcterms:W3CDTF">2016-12-22T09:13:00Z</dcterms:modified>
</cp:coreProperties>
</file>