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C26058" w:rsidP="00C26058">
      <w:pPr>
        <w:widowControl/>
        <w:suppressAutoHyphens w:val="0"/>
        <w:spacing w:line="314" w:lineRule="exact"/>
        <w:jc w:val="center"/>
        <w:rPr>
          <w:rFonts w:ascii="Arial" w:eastAsia="Arial" w:hAnsi="Arial"/>
          <w:b/>
          <w:kern w:val="0"/>
          <w:sz w:val="28"/>
          <w:szCs w:val="28"/>
          <w:lang w:eastAsia="pl-PL" w:bidi="ar-SA"/>
        </w:rPr>
      </w:pPr>
      <w:r w:rsidRPr="00A5743C">
        <w:rPr>
          <w:rFonts w:ascii="Arial" w:eastAsia="Arial" w:hAnsi="Arial"/>
          <w:b/>
          <w:kern w:val="0"/>
          <w:sz w:val="28"/>
          <w:szCs w:val="28"/>
          <w:lang w:eastAsia="pl-PL" w:bidi="ar-SA"/>
        </w:rPr>
        <w:t>Usługa pogwarancyjnych przeglądów okresowych sprzętu medycznego</w:t>
      </w:r>
      <w:r w:rsidR="00046822">
        <w:rPr>
          <w:rFonts w:ascii="Arial" w:eastAsia="Arial" w:hAnsi="Arial"/>
          <w:b/>
          <w:kern w:val="0"/>
          <w:sz w:val="28"/>
          <w:szCs w:val="28"/>
          <w:lang w:eastAsia="pl-PL" w:bidi="ar-SA"/>
        </w:rPr>
        <w:t xml:space="preserve"> – 1</w:t>
      </w:r>
      <w:r w:rsidR="00E35A83">
        <w:rPr>
          <w:rFonts w:ascii="Arial" w:eastAsia="Arial" w:hAnsi="Arial"/>
          <w:b/>
          <w:kern w:val="0"/>
          <w:sz w:val="28"/>
          <w:szCs w:val="28"/>
          <w:lang w:eastAsia="pl-PL" w:bidi="ar-SA"/>
        </w:rPr>
        <w:t>6</w:t>
      </w:r>
      <w:r w:rsidR="00046822">
        <w:rPr>
          <w:rFonts w:ascii="Arial" w:eastAsia="Arial" w:hAnsi="Arial"/>
          <w:b/>
          <w:kern w:val="0"/>
          <w:sz w:val="28"/>
          <w:szCs w:val="28"/>
          <w:lang w:eastAsia="pl-PL" w:bidi="ar-SA"/>
        </w:rPr>
        <w:t xml:space="preserve"> </w:t>
      </w:r>
      <w:r>
        <w:rPr>
          <w:rFonts w:ascii="Arial" w:eastAsia="Arial" w:hAnsi="Arial"/>
          <w:b/>
          <w:kern w:val="0"/>
          <w:sz w:val="28"/>
          <w:szCs w:val="28"/>
          <w:lang w:eastAsia="pl-PL" w:bidi="ar-SA"/>
        </w:rPr>
        <w:t>pakietów</w:t>
      </w:r>
    </w:p>
    <w:p w:rsidR="00FC10EF" w:rsidRPr="003E0602"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C26058">
        <w:rPr>
          <w:rFonts w:ascii="Arial" w:eastAsia="Arial" w:hAnsi="Arial"/>
          <w:kern w:val="0"/>
          <w:sz w:val="28"/>
          <w:szCs w:val="20"/>
          <w:u w:val="single"/>
          <w:lang w:eastAsia="pl-PL" w:bidi="ar-SA"/>
        </w:rPr>
        <w:t>31</w:t>
      </w:r>
      <w:r w:rsidR="00046822">
        <w:rPr>
          <w:rFonts w:ascii="Arial" w:eastAsia="Arial" w:hAnsi="Arial"/>
          <w:kern w:val="0"/>
          <w:sz w:val="28"/>
          <w:szCs w:val="20"/>
          <w:u w:val="single"/>
          <w:lang w:eastAsia="pl-PL" w:bidi="ar-SA"/>
        </w:rPr>
        <w:t>/1/</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0113B5">
        <w:rPr>
          <w:rFonts w:ascii="Arial" w:eastAsia="Arial" w:hAnsi="Arial"/>
          <w:kern w:val="0"/>
          <w:szCs w:val="20"/>
          <w:lang w:eastAsia="pl-PL" w:bidi="ar-SA"/>
        </w:rPr>
        <w:t>03</w:t>
      </w:r>
      <w:r w:rsidR="00046822">
        <w:rPr>
          <w:rFonts w:ascii="Arial" w:eastAsia="Arial" w:hAnsi="Arial"/>
          <w:kern w:val="0"/>
          <w:szCs w:val="20"/>
          <w:lang w:eastAsia="pl-PL" w:bidi="ar-SA"/>
        </w:rPr>
        <w:t>.07</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0113B5" w:rsidRDefault="000C165D" w:rsidP="00520464">
      <w:pPr>
        <w:pStyle w:val="Standard"/>
        <w:spacing w:after="0"/>
        <w:jc w:val="both"/>
        <w:rPr>
          <w:rFonts w:ascii="Arial" w:hAnsi="Arial" w:cs="Arial"/>
        </w:rPr>
      </w:pPr>
      <w:r w:rsidRPr="000113B5">
        <w:rPr>
          <w:rFonts w:ascii="Arial" w:hAnsi="Arial" w:cs="Arial"/>
        </w:rPr>
        <w:t>e-mail: zampub@szpitalzawiercie.pl</w:t>
      </w:r>
    </w:p>
    <w:p w:rsidR="000C165D" w:rsidRPr="000113B5" w:rsidRDefault="000C165D" w:rsidP="00520464">
      <w:pPr>
        <w:pStyle w:val="Standard"/>
        <w:spacing w:after="0"/>
        <w:jc w:val="both"/>
        <w:rPr>
          <w:rFonts w:ascii="Arial" w:hAnsi="Arial" w:cs="Arial"/>
        </w:rPr>
      </w:pPr>
      <w:r w:rsidRPr="000113B5">
        <w:rPr>
          <w:rFonts w:ascii="Arial" w:hAnsi="Arial" w:cs="Arial"/>
        </w:rPr>
        <w:t xml:space="preserve">tel. 32 </w:t>
      </w:r>
      <w:r w:rsidR="000615DD" w:rsidRPr="000113B5">
        <w:rPr>
          <w:rFonts w:ascii="Arial" w:hAnsi="Arial" w:cs="Arial"/>
        </w:rPr>
        <w:t>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046822">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0615DD">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0C165D" w:rsidRPr="0010087A" w:rsidRDefault="00864FD0" w:rsidP="00520464">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Pr="00445E52" w:rsidRDefault="00C26058" w:rsidP="00026A89">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Pr>
          <w:rFonts w:ascii="Arial" w:hAnsi="Arial"/>
          <w:sz w:val="22"/>
          <w:szCs w:val="22"/>
        </w:rPr>
        <w:t>:</w:t>
      </w:r>
      <w:r w:rsidRPr="00445E52">
        <w:rPr>
          <w:rFonts w:ascii="Arial" w:hAnsi="Arial"/>
          <w:sz w:val="22"/>
          <w:szCs w:val="22"/>
        </w:rPr>
        <w:t xml:space="preserve"> </w:t>
      </w:r>
      <w:r w:rsidRPr="00445E52">
        <w:rPr>
          <w:rFonts w:ascii="Arial" w:eastAsia="Arial" w:hAnsi="Arial"/>
          <w:kern w:val="0"/>
          <w:sz w:val="22"/>
          <w:szCs w:val="22"/>
          <w:lang w:eastAsia="pl-PL" w:bidi="ar-SA"/>
        </w:rPr>
        <w:t xml:space="preserve">Usługa pogwarancyjnych przeglądów okresowych sprzętu medycznego – </w:t>
      </w:r>
      <w:r w:rsidR="00502A16">
        <w:rPr>
          <w:rFonts w:ascii="Arial" w:eastAsia="Arial" w:hAnsi="Arial"/>
          <w:kern w:val="0"/>
          <w:sz w:val="22"/>
          <w:szCs w:val="22"/>
          <w:lang w:eastAsia="pl-PL" w:bidi="ar-SA"/>
        </w:rPr>
        <w:t>1</w:t>
      </w:r>
      <w:r w:rsidR="00E35A83">
        <w:rPr>
          <w:rFonts w:ascii="Arial" w:eastAsia="Arial" w:hAnsi="Arial"/>
          <w:kern w:val="0"/>
          <w:sz w:val="22"/>
          <w:szCs w:val="22"/>
          <w:lang w:eastAsia="pl-PL" w:bidi="ar-SA"/>
        </w:rPr>
        <w:t>6</w:t>
      </w:r>
      <w:r w:rsidRPr="00445E52">
        <w:rPr>
          <w:rFonts w:ascii="Arial" w:eastAsia="Arial" w:hAnsi="Arial"/>
          <w:kern w:val="0"/>
          <w:sz w:val="22"/>
          <w:szCs w:val="22"/>
          <w:lang w:eastAsia="pl-PL" w:bidi="ar-SA"/>
        </w:rPr>
        <w:t xml:space="preserve"> pakietów </w:t>
      </w:r>
      <w:r w:rsidRPr="00445E52">
        <w:rPr>
          <w:rFonts w:ascii="Arial" w:eastAsia="Times New Roman" w:hAnsi="Arial"/>
          <w:kern w:val="0"/>
          <w:sz w:val="22"/>
          <w:szCs w:val="22"/>
          <w:lang w:eastAsia="pl-PL" w:bidi="ar-SA"/>
        </w:rPr>
        <w:t>– 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Z – formularz asortymentowo cenowy:</w:t>
      </w:r>
    </w:p>
    <w:p w:rsidR="00C26058" w:rsidRPr="00445E52" w:rsidRDefault="00C26058" w:rsidP="00026A89">
      <w:pPr>
        <w:widowControl/>
        <w:tabs>
          <w:tab w:val="left" w:pos="284"/>
          <w:tab w:val="left" w:pos="4820"/>
        </w:tabs>
        <w:suppressAutoHyphens w:val="0"/>
        <w:autoSpaceDN/>
        <w:jc w:val="both"/>
        <w:textAlignment w:val="auto"/>
        <w:rPr>
          <w:rFonts w:ascii="Arial" w:hAnsi="Arial"/>
          <w:color w:val="00000A"/>
          <w:kern w:val="2"/>
          <w:sz w:val="22"/>
          <w:szCs w:val="22"/>
        </w:rPr>
      </w:pPr>
    </w:p>
    <w:tbl>
      <w:tblPr>
        <w:tblW w:w="11622" w:type="dxa"/>
        <w:tblInd w:w="55" w:type="dxa"/>
        <w:tblCellMar>
          <w:left w:w="70" w:type="dxa"/>
          <w:right w:w="70" w:type="dxa"/>
        </w:tblCellMar>
        <w:tblLook w:val="04A0" w:firstRow="1" w:lastRow="0" w:firstColumn="1" w:lastColumn="0" w:noHBand="0" w:noVBand="1"/>
      </w:tblPr>
      <w:tblGrid>
        <w:gridCol w:w="9654"/>
        <w:gridCol w:w="984"/>
        <w:gridCol w:w="984"/>
      </w:tblGrid>
      <w:tr w:rsidR="00C26058" w:rsidRPr="00445E52" w:rsidTr="00046822">
        <w:trPr>
          <w:trHeight w:val="300"/>
        </w:trPr>
        <w:tc>
          <w:tcPr>
            <w:tcW w:w="9654" w:type="dxa"/>
            <w:tcBorders>
              <w:top w:val="nil"/>
              <w:left w:val="nil"/>
              <w:bottom w:val="nil"/>
              <w:right w:val="nil"/>
            </w:tcBorders>
            <w:shd w:val="clear" w:color="auto" w:fill="auto"/>
            <w:noWrap/>
            <w:hideMark/>
          </w:tcPr>
          <w:tbl>
            <w:tblPr>
              <w:tblW w:w="0" w:type="auto"/>
              <w:tblCellMar>
                <w:left w:w="30" w:type="dxa"/>
                <w:right w:w="30" w:type="dxa"/>
              </w:tblCellMar>
              <w:tblLook w:val="0000" w:firstRow="0" w:lastRow="0" w:firstColumn="0" w:lastColumn="0" w:noHBand="0" w:noVBand="0"/>
            </w:tblPr>
            <w:tblGrid>
              <w:gridCol w:w="9514"/>
            </w:tblGrid>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 xml:space="preserve">Pakiet  3  –  Urządzenia  RTG </w:t>
                  </w:r>
                  <w:r>
                    <w:rPr>
                      <w:rFonts w:ascii="Arial" w:hAnsi="Arial"/>
                      <w:bCs/>
                      <w:color w:val="000000"/>
                      <w:kern w:val="0"/>
                      <w:sz w:val="22"/>
                      <w:szCs w:val="22"/>
                      <w:lang w:eastAsia="pl-PL" w:bidi="ar-SA"/>
                    </w:rPr>
                    <w:t>–</w:t>
                  </w:r>
                  <w:r w:rsidRPr="00E35A83">
                    <w:rPr>
                      <w:rFonts w:ascii="Arial" w:hAnsi="Arial"/>
                      <w:bCs/>
                      <w:color w:val="000000"/>
                      <w:kern w:val="0"/>
                      <w:sz w:val="22"/>
                      <w:szCs w:val="22"/>
                      <w:lang w:eastAsia="pl-PL" w:bidi="ar-SA"/>
                    </w:rPr>
                    <w:t xml:space="preserve"> Inne</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5 –  Aparat   EMG</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31  –  System  odwróconej  osmozy</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32 a  –  Sterylizatory  parowe</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32 b  –  Myjnia   dezynfektor  WD  200</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33  –  Sterylizator  gazowy  3M-STERI-VAC</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34 a  –  Inne  urządzenia  do  sterylizacji</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34 b  –  Inne  urządzenia  do  sterylizacji - Inkubator  testów biologicznych</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36  –  Myjnie   endoskopowe</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38 a  – Aparatura  laboratoryjna 1– chłodnia  medyczna  do  krwi</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 xml:space="preserve">Pakiet  38 b – Aparatura  laboratoryjna 1 – </w:t>
                  </w:r>
                  <w:proofErr w:type="spellStart"/>
                  <w:r w:rsidRPr="00E35A83">
                    <w:rPr>
                      <w:rFonts w:ascii="Arial" w:hAnsi="Arial"/>
                      <w:bCs/>
                      <w:color w:val="000000"/>
                      <w:kern w:val="0"/>
                      <w:sz w:val="22"/>
                      <w:szCs w:val="22"/>
                      <w:lang w:eastAsia="pl-PL" w:bidi="ar-SA"/>
                    </w:rPr>
                    <w:t>Cryotome</w:t>
                  </w:r>
                  <w:proofErr w:type="spellEnd"/>
                  <w:r w:rsidRPr="00E35A83">
                    <w:rPr>
                      <w:rFonts w:ascii="Arial" w:hAnsi="Arial"/>
                      <w:bCs/>
                      <w:color w:val="000000"/>
                      <w:kern w:val="0"/>
                      <w:sz w:val="22"/>
                      <w:szCs w:val="22"/>
                      <w:lang w:eastAsia="pl-PL" w:bidi="ar-SA"/>
                    </w:rPr>
                    <w:t xml:space="preserve"> E</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 xml:space="preserve">Pakiet  38 c  – Aparatura  laboratoryjna 1 – aparat  pomiarowy  </w:t>
                  </w:r>
                  <w:proofErr w:type="spellStart"/>
                  <w:r w:rsidRPr="00E35A83">
                    <w:rPr>
                      <w:rFonts w:ascii="Arial" w:hAnsi="Arial"/>
                      <w:bCs/>
                      <w:color w:val="000000"/>
                      <w:kern w:val="0"/>
                      <w:sz w:val="22"/>
                      <w:szCs w:val="22"/>
                      <w:lang w:eastAsia="pl-PL" w:bidi="ar-SA"/>
                    </w:rPr>
                    <w:t>densimat</w:t>
                  </w:r>
                  <w:proofErr w:type="spellEnd"/>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38 d  – Aparatura  laboratoryjna 1 – pipety</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38 e  – Aparatura  laboratoryjna 1 – analizator  parametrów  krytycznych</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Pakiet  44 –  Aparaty  i  narzędzia  laryngologiczne</w:t>
                  </w:r>
                  <w:r>
                    <w:rPr>
                      <w:rFonts w:ascii="Arial" w:hAnsi="Arial"/>
                      <w:bCs/>
                      <w:color w:val="000000"/>
                      <w:kern w:val="0"/>
                      <w:sz w:val="22"/>
                      <w:szCs w:val="22"/>
                      <w:lang w:eastAsia="pl-PL" w:bidi="ar-SA"/>
                    </w:rPr>
                    <w:t>,</w:t>
                  </w:r>
                </w:p>
              </w:tc>
            </w:tr>
            <w:tr w:rsidR="00E35A83">
              <w:trPr>
                <w:trHeight w:val="300"/>
              </w:trPr>
              <w:tc>
                <w:tcPr>
                  <w:tcW w:w="9571" w:type="dxa"/>
                  <w:tcBorders>
                    <w:top w:val="nil"/>
                    <w:left w:val="nil"/>
                    <w:bottom w:val="nil"/>
                    <w:right w:val="nil"/>
                  </w:tcBorders>
                </w:tcPr>
                <w:p w:rsidR="00E35A83" w:rsidRPr="00E35A83" w:rsidRDefault="00E35A83">
                  <w:pPr>
                    <w:widowControl/>
                    <w:suppressAutoHyphens w:val="0"/>
                    <w:autoSpaceDE w:val="0"/>
                    <w:adjustRightInd w:val="0"/>
                    <w:textAlignment w:val="auto"/>
                    <w:rPr>
                      <w:rFonts w:ascii="Arial" w:hAnsi="Arial"/>
                      <w:bCs/>
                      <w:color w:val="000000"/>
                      <w:kern w:val="0"/>
                      <w:sz w:val="22"/>
                      <w:szCs w:val="22"/>
                      <w:lang w:eastAsia="pl-PL" w:bidi="ar-SA"/>
                    </w:rPr>
                  </w:pPr>
                  <w:r w:rsidRPr="00E35A83">
                    <w:rPr>
                      <w:rFonts w:ascii="Arial" w:hAnsi="Arial"/>
                      <w:bCs/>
                      <w:color w:val="000000"/>
                      <w:kern w:val="0"/>
                      <w:sz w:val="22"/>
                      <w:szCs w:val="22"/>
                      <w:lang w:eastAsia="pl-PL" w:bidi="ar-SA"/>
                    </w:rPr>
                    <w:t xml:space="preserve">Pakiet  47 –  Automatyczny  </w:t>
                  </w:r>
                  <w:proofErr w:type="spellStart"/>
                  <w:r w:rsidRPr="00E35A83">
                    <w:rPr>
                      <w:rFonts w:ascii="Arial" w:hAnsi="Arial"/>
                      <w:bCs/>
                      <w:color w:val="000000"/>
                      <w:kern w:val="0"/>
                      <w:sz w:val="22"/>
                      <w:szCs w:val="22"/>
                      <w:lang w:eastAsia="pl-PL" w:bidi="ar-SA"/>
                    </w:rPr>
                    <w:t>injector</w:t>
                  </w:r>
                  <w:proofErr w:type="spellEnd"/>
                  <w:r w:rsidRPr="00E35A83">
                    <w:rPr>
                      <w:rFonts w:ascii="Arial" w:hAnsi="Arial"/>
                      <w:bCs/>
                      <w:color w:val="000000"/>
                      <w:kern w:val="0"/>
                      <w:sz w:val="22"/>
                      <w:szCs w:val="22"/>
                      <w:lang w:eastAsia="pl-PL" w:bidi="ar-SA"/>
                    </w:rPr>
                    <w:t xml:space="preserve">  kontrastowy</w:t>
                  </w:r>
                  <w:r>
                    <w:rPr>
                      <w:rFonts w:ascii="Arial" w:hAnsi="Arial"/>
                      <w:bCs/>
                      <w:color w:val="000000"/>
                      <w:kern w:val="0"/>
                      <w:sz w:val="22"/>
                      <w:szCs w:val="22"/>
                      <w:lang w:eastAsia="pl-PL" w:bidi="ar-SA"/>
                    </w:rPr>
                    <w:t>.</w:t>
                  </w:r>
                </w:p>
              </w:tc>
            </w:tr>
          </w:tbl>
          <w:p w:rsidR="00C26058" w:rsidRPr="00445E52" w:rsidRDefault="00C26058" w:rsidP="00026A89">
            <w:pPr>
              <w:widowControl/>
              <w:suppressAutoHyphens w:val="0"/>
              <w:autoSpaceDN/>
              <w:textAlignment w:val="auto"/>
              <w:rPr>
                <w:rFonts w:ascii="Arial" w:eastAsia="Times New Roman" w:hAnsi="Arial"/>
                <w:color w:val="000000"/>
                <w:kern w:val="0"/>
                <w:sz w:val="22"/>
                <w:szCs w:val="22"/>
                <w:lang w:eastAsia="pl-PL" w:bidi="ar-SA"/>
              </w:rPr>
            </w:pPr>
          </w:p>
          <w:p w:rsidR="00C26058" w:rsidRPr="00A653C7" w:rsidRDefault="00C26058" w:rsidP="00026A89">
            <w:pPr>
              <w:jc w:val="both"/>
              <w:rPr>
                <w:rFonts w:ascii="Arial" w:hAnsi="Arial"/>
                <w:kern w:val="2"/>
                <w:sz w:val="22"/>
                <w:szCs w:val="22"/>
              </w:rPr>
            </w:pPr>
            <w:r w:rsidRPr="00A653C7">
              <w:rPr>
                <w:rFonts w:ascii="Arial" w:hAnsi="Arial"/>
                <w:kern w:val="2"/>
                <w:sz w:val="22"/>
                <w:szCs w:val="22"/>
              </w:rPr>
              <w:t>2. Usługa ma na celu utrzymanie w pełnej sprawności tech</w:t>
            </w:r>
            <w:r>
              <w:rPr>
                <w:rFonts w:ascii="Arial" w:hAnsi="Arial"/>
                <w:kern w:val="2"/>
                <w:sz w:val="22"/>
                <w:szCs w:val="22"/>
              </w:rPr>
              <w:t xml:space="preserve">niczno-eksploatacyjnej sprzętu medycznego </w:t>
            </w:r>
            <w:r w:rsidRPr="00A653C7">
              <w:rPr>
                <w:rFonts w:ascii="Arial" w:hAnsi="Arial"/>
                <w:kern w:val="2"/>
                <w:sz w:val="22"/>
                <w:szCs w:val="22"/>
              </w:rPr>
              <w:t>oraz wydłużenie jego bezawaryjnego czasu pracy, jak również zapewnienie, iż parametry pracy tego sprzętu będą zgodne z założonymi przez producenta wartościami.</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3. Usługa obejmuje:</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zebranie informacji o zaobserwowanych przez użytkownika usterkach,</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oględziny sprzętu,</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przegląd techniczny z dokonaniem wpisu do paszportu,</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 wystawienie raportu serwisowego, </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ewentualne legalizacje, kalibracje,</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lastRenderedPageBreak/>
              <w:t>- sprawdzenie instalacji,</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ustawienie (regulacje) wymaganych przez producenta parametrów.</w:t>
            </w:r>
          </w:p>
          <w:p w:rsidR="00C26058" w:rsidRPr="00EA6B66" w:rsidRDefault="00C26058" w:rsidP="00026A89">
            <w:pPr>
              <w:jc w:val="both"/>
            </w:pPr>
            <w:r w:rsidRPr="00A653C7">
              <w:rPr>
                <w:rFonts w:ascii="Arial" w:hAnsi="Arial"/>
                <w:kern w:val="2"/>
                <w:sz w:val="22"/>
                <w:szCs w:val="22"/>
              </w:rPr>
              <w:t xml:space="preserve">4. </w:t>
            </w:r>
            <w:r w:rsidR="00EA6B66">
              <w:rPr>
                <w:rFonts w:ascii="Arial" w:hAnsi="Arial"/>
                <w:sz w:val="22"/>
                <w:szCs w:val="22"/>
              </w:rPr>
              <w:t>W cenie za przegląd okresowy należy uwzględnić wszystkie koszty związane z wykonaniem usługi w tym koszty oraz  dojazdu lub kosztu transportu.</w:t>
            </w:r>
          </w:p>
          <w:p w:rsidR="00C26058" w:rsidRPr="00A653C7" w:rsidRDefault="00EA6B66" w:rsidP="00026A89">
            <w:pPr>
              <w:jc w:val="both"/>
              <w:rPr>
                <w:rFonts w:ascii="Arial" w:hAnsi="Arial"/>
                <w:kern w:val="2"/>
                <w:sz w:val="22"/>
                <w:szCs w:val="22"/>
              </w:rPr>
            </w:pPr>
            <w:r>
              <w:rPr>
                <w:rFonts w:ascii="Arial" w:hAnsi="Arial"/>
                <w:kern w:val="2"/>
                <w:sz w:val="22"/>
                <w:szCs w:val="22"/>
              </w:rPr>
              <w:t>5</w:t>
            </w:r>
            <w:r w:rsidR="00C26058" w:rsidRPr="00A653C7">
              <w:rPr>
                <w:rFonts w:ascii="Arial" w:hAnsi="Arial"/>
                <w:kern w:val="2"/>
                <w:sz w:val="22"/>
                <w:szCs w:val="22"/>
              </w:rPr>
              <w:t xml:space="preserve">. Usługa musi być zrealizowana zgodnie z wymogami i zaleceniami producenta sprzętu, oraz zgodnie z obowiązującymi przepisami, w tym z zachowaniem przepisów bhp i ppoż. </w:t>
            </w:r>
          </w:p>
          <w:p w:rsidR="00C26058" w:rsidRPr="00A653C7" w:rsidRDefault="00EA6B66" w:rsidP="00026A89">
            <w:pPr>
              <w:jc w:val="both"/>
              <w:rPr>
                <w:rFonts w:ascii="Arial" w:hAnsi="Arial"/>
                <w:kern w:val="2"/>
                <w:sz w:val="22"/>
                <w:szCs w:val="22"/>
              </w:rPr>
            </w:pPr>
            <w:r>
              <w:rPr>
                <w:rFonts w:ascii="Arial" w:hAnsi="Arial"/>
                <w:kern w:val="2"/>
                <w:sz w:val="22"/>
                <w:szCs w:val="22"/>
              </w:rPr>
              <w:t>6</w:t>
            </w:r>
            <w:r w:rsidR="00C26058" w:rsidRPr="00A653C7">
              <w:rPr>
                <w:rFonts w:ascii="Arial" w:hAnsi="Arial"/>
                <w:kern w:val="2"/>
                <w:sz w:val="22"/>
                <w:szCs w:val="22"/>
              </w:rPr>
              <w:t xml:space="preserve">. Odbiór wykonanego przeglądu nastąpi po uprzednim dokonaniu wpisu w paszporcie urządzenia oraz sporządzeniu raportu serwisowego. Wpis ma zawierać następujące informacje: datę wykonania czynności, informacje o stanie technicznym aparatu (urządzenie jest sprawne i nadaje się do dalszej eksploatacji, urządzenie niesprawne, urządzenie dopuszczone warunkowo do użytkowania). </w:t>
            </w:r>
          </w:p>
          <w:p w:rsidR="00C26058" w:rsidRPr="00A653C7" w:rsidRDefault="00EA6B66" w:rsidP="00026A89">
            <w:pPr>
              <w:jc w:val="both"/>
              <w:rPr>
                <w:rFonts w:ascii="Arial" w:hAnsi="Arial"/>
                <w:kern w:val="2"/>
                <w:sz w:val="22"/>
                <w:szCs w:val="22"/>
              </w:rPr>
            </w:pPr>
            <w:r>
              <w:rPr>
                <w:rFonts w:ascii="Arial" w:hAnsi="Arial"/>
                <w:kern w:val="2"/>
                <w:sz w:val="22"/>
                <w:szCs w:val="22"/>
              </w:rPr>
              <w:t>7</w:t>
            </w:r>
            <w:r w:rsidR="00C26058" w:rsidRPr="00A653C7">
              <w:rPr>
                <w:rFonts w:ascii="Arial" w:hAnsi="Arial"/>
                <w:kern w:val="2"/>
                <w:sz w:val="22"/>
                <w:szCs w:val="22"/>
              </w:rPr>
              <w:t>. Zamawiający wymaga dochowania terminów przeglądów przez Wykonawcę. Zamawiający dopuszcza wcześniejsze wykonanie przeglądów, jednak nie wcześniej niż 14 dni przed planowanym terminem przeglądu. O terminie wykonania przeglądu należy poinformować pracowników Działu Aparatury Medycznej z co najmniej 24 godzinnym wyprzedzeniem.</w:t>
            </w:r>
          </w:p>
          <w:p w:rsidR="00C26058" w:rsidRPr="00A653C7" w:rsidRDefault="00EA6B66" w:rsidP="00026A89">
            <w:pPr>
              <w:jc w:val="both"/>
              <w:rPr>
                <w:rFonts w:ascii="Arial" w:hAnsi="Arial"/>
                <w:kern w:val="2"/>
                <w:sz w:val="22"/>
                <w:szCs w:val="22"/>
              </w:rPr>
            </w:pPr>
            <w:r>
              <w:rPr>
                <w:rFonts w:ascii="Arial" w:hAnsi="Arial"/>
                <w:kern w:val="2"/>
                <w:sz w:val="22"/>
                <w:szCs w:val="22"/>
              </w:rPr>
              <w:t>8</w:t>
            </w:r>
            <w:r w:rsidR="00C26058" w:rsidRPr="00A653C7">
              <w:rPr>
                <w:rFonts w:ascii="Arial" w:hAnsi="Arial"/>
                <w:kern w:val="2"/>
                <w:sz w:val="22"/>
                <w:szCs w:val="22"/>
              </w:rPr>
              <w:t>. Wykonawca nie może dokonywać żadnych zmian w układach, nastawach oraz parametrów urządzenia, chyba, że ma pisemne upoważnienie producenta oraz pisemną zgodę Zamawiającego, a zmiana ma na celu poprawę funkcjonalności, bezpieczeństwa lub modernizacji oprogramowania.</w:t>
            </w:r>
          </w:p>
          <w:p w:rsidR="00C26058" w:rsidRPr="00A653C7" w:rsidRDefault="00EA6B66" w:rsidP="00026A89">
            <w:pPr>
              <w:jc w:val="both"/>
              <w:rPr>
                <w:rFonts w:ascii="Arial" w:hAnsi="Arial"/>
                <w:kern w:val="2"/>
                <w:sz w:val="22"/>
                <w:szCs w:val="22"/>
              </w:rPr>
            </w:pPr>
            <w:r>
              <w:rPr>
                <w:rFonts w:ascii="Arial" w:hAnsi="Arial"/>
                <w:kern w:val="2"/>
                <w:sz w:val="22"/>
                <w:szCs w:val="22"/>
              </w:rPr>
              <w:t>9</w:t>
            </w:r>
            <w:r w:rsidR="00C26058" w:rsidRPr="00A653C7">
              <w:rPr>
                <w:rFonts w:ascii="Arial" w:hAnsi="Arial"/>
                <w:kern w:val="2"/>
                <w:sz w:val="22"/>
                <w:szCs w:val="22"/>
              </w:rPr>
              <w:t xml:space="preserve">. W ramach wykonywania usługi Wykonawca zobowiązuje się do: </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a. dokonywania kontroli stanu technicznego i kontroli bezpieczeństwa sprzętu zgodnie z dokumentacją techniczną, instrukcją obsługi i instrukcją serwisową sprzętu, stosowanie do zaleceń producenta oraz zgodnie z obowiązującymi normami,</w:t>
            </w:r>
          </w:p>
          <w:p w:rsidR="00C26058" w:rsidRPr="00A653C7" w:rsidRDefault="00C26058" w:rsidP="00026A89">
            <w:pPr>
              <w:jc w:val="both"/>
              <w:rPr>
                <w:rFonts w:ascii="Arial" w:hAnsi="Arial"/>
                <w:kern w:val="2"/>
                <w:sz w:val="22"/>
                <w:szCs w:val="22"/>
              </w:rPr>
            </w:pPr>
            <w:r w:rsidRPr="00A653C7">
              <w:rPr>
                <w:rFonts w:ascii="Arial" w:hAnsi="Arial"/>
                <w:kern w:val="2"/>
                <w:sz w:val="22"/>
                <w:szCs w:val="22"/>
              </w:rPr>
              <w:t xml:space="preserve">b. niezwłocznego przekazania Zamawiającemu informacji na temat stwierdzonych podczas przeglądu usterek lub wad wymagających usunięcia. </w:t>
            </w:r>
          </w:p>
        </w:tc>
        <w:tc>
          <w:tcPr>
            <w:tcW w:w="984" w:type="dxa"/>
            <w:tcBorders>
              <w:top w:val="nil"/>
              <w:left w:val="nil"/>
              <w:bottom w:val="nil"/>
              <w:right w:val="nil"/>
            </w:tcBorders>
            <w:shd w:val="clear" w:color="auto" w:fill="auto"/>
            <w:noWrap/>
            <w:vAlign w:val="bottom"/>
            <w:hideMark/>
          </w:tcPr>
          <w:p w:rsidR="00C26058" w:rsidRPr="00445E52" w:rsidRDefault="00C26058" w:rsidP="00026A89">
            <w:pPr>
              <w:widowControl/>
              <w:suppressAutoHyphens w:val="0"/>
              <w:autoSpaceDN/>
              <w:textAlignment w:val="auto"/>
              <w:rPr>
                <w:rFonts w:ascii="Arial" w:eastAsia="Times New Roman" w:hAnsi="Arial"/>
                <w:color w:val="000000"/>
                <w:kern w:val="0"/>
                <w:sz w:val="22"/>
                <w:szCs w:val="22"/>
                <w:lang w:eastAsia="pl-PL" w:bidi="ar-SA"/>
              </w:rPr>
            </w:pPr>
          </w:p>
        </w:tc>
        <w:tc>
          <w:tcPr>
            <w:tcW w:w="984" w:type="dxa"/>
            <w:tcBorders>
              <w:top w:val="nil"/>
              <w:left w:val="nil"/>
              <w:bottom w:val="nil"/>
              <w:right w:val="nil"/>
            </w:tcBorders>
            <w:shd w:val="clear" w:color="auto" w:fill="auto"/>
            <w:noWrap/>
            <w:vAlign w:val="bottom"/>
            <w:hideMark/>
          </w:tcPr>
          <w:p w:rsidR="00C26058" w:rsidRPr="00445E52" w:rsidRDefault="00C26058" w:rsidP="00026A89">
            <w:pPr>
              <w:widowControl/>
              <w:suppressAutoHyphens w:val="0"/>
              <w:autoSpaceDN/>
              <w:textAlignment w:val="auto"/>
              <w:rPr>
                <w:rFonts w:ascii="Arial" w:eastAsia="Times New Roman" w:hAnsi="Arial"/>
                <w:color w:val="000000"/>
                <w:kern w:val="0"/>
                <w:sz w:val="22"/>
                <w:szCs w:val="22"/>
                <w:lang w:eastAsia="pl-PL" w:bidi="ar-SA"/>
              </w:rPr>
            </w:pPr>
          </w:p>
        </w:tc>
      </w:tr>
    </w:tbl>
    <w:p w:rsidR="00C26058" w:rsidRPr="00445E52" w:rsidRDefault="00EA6B66" w:rsidP="00026A89">
      <w:pPr>
        <w:pStyle w:val="Textbody"/>
        <w:spacing w:after="0" w:line="240" w:lineRule="auto"/>
        <w:jc w:val="both"/>
        <w:rPr>
          <w:rFonts w:ascii="Arial" w:hAnsi="Arial" w:cs="Arial"/>
          <w:sz w:val="22"/>
          <w:szCs w:val="22"/>
        </w:rPr>
      </w:pPr>
      <w:r>
        <w:rPr>
          <w:rFonts w:ascii="Arial" w:hAnsi="Arial" w:cs="Arial"/>
          <w:sz w:val="22"/>
          <w:szCs w:val="22"/>
        </w:rPr>
        <w:lastRenderedPageBreak/>
        <w:t>10</w:t>
      </w:r>
      <w:r w:rsidR="00C26058" w:rsidRPr="00445E52">
        <w:rPr>
          <w:rFonts w:ascii="Arial" w:hAnsi="Arial" w:cs="Arial"/>
          <w:sz w:val="22"/>
          <w:szCs w:val="22"/>
        </w:rPr>
        <w:t>. Kod zgodny ze Wspólnym Słownikiem Zamówień (CPV):</w:t>
      </w:r>
    </w:p>
    <w:p w:rsidR="00C26058" w:rsidRPr="00445E52" w:rsidRDefault="00C26058" w:rsidP="00026A89">
      <w:pPr>
        <w:widowControl/>
        <w:tabs>
          <w:tab w:val="left" w:pos="1986"/>
        </w:tabs>
        <w:rPr>
          <w:rFonts w:ascii="Arial" w:eastAsia="Times New Roman" w:hAnsi="Arial"/>
          <w:color w:val="00000A"/>
          <w:kern w:val="2"/>
          <w:sz w:val="22"/>
          <w:szCs w:val="22"/>
          <w:lang w:bidi="ar-SA"/>
        </w:rPr>
      </w:pPr>
      <w:r w:rsidRPr="00445E52">
        <w:rPr>
          <w:rFonts w:ascii="Arial" w:eastAsia="Times New Roman" w:hAnsi="Arial"/>
          <w:color w:val="00000A"/>
          <w:kern w:val="2"/>
          <w:sz w:val="22"/>
          <w:szCs w:val="22"/>
          <w:lang w:bidi="ar-SA"/>
        </w:rPr>
        <w:t>50421000-2</w:t>
      </w:r>
      <w:r w:rsidR="007C4E69">
        <w:rPr>
          <w:rFonts w:ascii="Arial" w:eastAsia="Times New Roman" w:hAnsi="Arial"/>
          <w:color w:val="00000A"/>
          <w:kern w:val="2"/>
          <w:sz w:val="22"/>
          <w:szCs w:val="22"/>
          <w:lang w:bidi="ar-SA"/>
        </w:rPr>
        <w:t xml:space="preserve"> </w:t>
      </w:r>
      <w:r w:rsidRPr="00445E52">
        <w:rPr>
          <w:rFonts w:ascii="Arial" w:eastAsia="Times New Roman" w:hAnsi="Arial"/>
          <w:color w:val="00000A"/>
          <w:kern w:val="2"/>
          <w:sz w:val="22"/>
          <w:szCs w:val="22"/>
          <w:lang w:bidi="ar-SA"/>
        </w:rPr>
        <w:t>- Usługi w zakresie napraw i konserwacji sprzętu medycznego.</w:t>
      </w:r>
    </w:p>
    <w:p w:rsidR="00C26058" w:rsidRPr="00445E52" w:rsidRDefault="00C26058" w:rsidP="00026A89">
      <w:pPr>
        <w:jc w:val="both"/>
        <w:rPr>
          <w:rFonts w:ascii="Arial" w:hAnsi="Arial"/>
          <w:sz w:val="22"/>
          <w:szCs w:val="22"/>
        </w:rPr>
      </w:pPr>
    </w:p>
    <w:p w:rsidR="00C26058" w:rsidRPr="00445E52" w:rsidRDefault="00EA6B66" w:rsidP="00026A89">
      <w:pPr>
        <w:pStyle w:val="Textbody"/>
        <w:spacing w:after="0" w:line="240" w:lineRule="auto"/>
        <w:jc w:val="both"/>
        <w:rPr>
          <w:rFonts w:ascii="Arial" w:hAnsi="Arial" w:cs="Arial"/>
          <w:bCs/>
          <w:sz w:val="22"/>
          <w:szCs w:val="22"/>
        </w:rPr>
      </w:pPr>
      <w:r>
        <w:rPr>
          <w:rFonts w:ascii="Arial" w:hAnsi="Arial" w:cs="Arial"/>
          <w:bCs/>
          <w:sz w:val="22"/>
          <w:szCs w:val="22"/>
        </w:rPr>
        <w:t>11</w:t>
      </w:r>
      <w:r w:rsidR="00C26058" w:rsidRPr="00445E52">
        <w:rPr>
          <w:rFonts w:ascii="Arial" w:hAnsi="Arial" w:cs="Arial"/>
          <w:bCs/>
          <w:sz w:val="22"/>
          <w:szCs w:val="22"/>
        </w:rPr>
        <w:t>. Zamawiający nie przewiduje zorganizowania zebrania z Wykonawcami.</w:t>
      </w:r>
    </w:p>
    <w:p w:rsidR="00C26058" w:rsidRPr="00445E52" w:rsidRDefault="00EA6B66" w:rsidP="00026A89">
      <w:pPr>
        <w:pStyle w:val="Standard"/>
        <w:spacing w:after="0" w:line="240" w:lineRule="auto"/>
        <w:jc w:val="both"/>
        <w:rPr>
          <w:rFonts w:ascii="Arial" w:hAnsi="Arial" w:cs="Arial"/>
        </w:rPr>
      </w:pPr>
      <w:r>
        <w:rPr>
          <w:rFonts w:ascii="Arial" w:hAnsi="Arial" w:cs="Arial"/>
        </w:rPr>
        <w:t>12</w:t>
      </w:r>
      <w:r w:rsidR="00C26058" w:rsidRPr="00445E52">
        <w:rPr>
          <w:rFonts w:ascii="Arial" w:hAnsi="Arial" w:cs="Arial"/>
        </w:rPr>
        <w:t>. Zamawiający nie dopuszcza możliwości składania ofert wariantowych.</w:t>
      </w:r>
    </w:p>
    <w:p w:rsidR="00C26058" w:rsidRPr="00445E52" w:rsidRDefault="00EA6B66" w:rsidP="00026A89">
      <w:pPr>
        <w:pStyle w:val="Standard"/>
        <w:spacing w:after="0" w:line="240" w:lineRule="auto"/>
        <w:jc w:val="both"/>
        <w:rPr>
          <w:rFonts w:ascii="Arial" w:hAnsi="Arial" w:cs="Arial"/>
        </w:rPr>
      </w:pPr>
      <w:r>
        <w:rPr>
          <w:rFonts w:ascii="Arial" w:hAnsi="Arial" w:cs="Arial"/>
        </w:rPr>
        <w:t>13</w:t>
      </w:r>
      <w:r w:rsidR="00C26058" w:rsidRPr="00445E52">
        <w:rPr>
          <w:rFonts w:ascii="Arial" w:hAnsi="Arial" w:cs="Arial"/>
        </w:rPr>
        <w:t xml:space="preserve">. Zamawiający dopuszcza składanie ofert częściowych na poszczególne pakiety. Oferty niezawierające pełnego zakresu przedmiotu zamówienia w danym pakiecie zostaną odrzucone. Pakiety nie mogą być dzielone przez Wykonawców. </w:t>
      </w:r>
    </w:p>
    <w:p w:rsidR="00C26058" w:rsidRPr="00445E52" w:rsidRDefault="00EA6B66" w:rsidP="00026A89">
      <w:pPr>
        <w:pStyle w:val="Standard"/>
        <w:spacing w:after="0" w:line="240" w:lineRule="auto"/>
        <w:jc w:val="both"/>
        <w:rPr>
          <w:rFonts w:ascii="Arial" w:hAnsi="Arial" w:cs="Arial"/>
        </w:rPr>
      </w:pPr>
      <w:r>
        <w:rPr>
          <w:rFonts w:ascii="Arial" w:hAnsi="Arial" w:cs="Arial"/>
        </w:rPr>
        <w:t>14</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EA6B66" w:rsidP="00026A89">
      <w:pPr>
        <w:pStyle w:val="Standard"/>
        <w:spacing w:after="0" w:line="240" w:lineRule="auto"/>
        <w:jc w:val="both"/>
        <w:rPr>
          <w:rFonts w:ascii="Arial" w:hAnsi="Arial" w:cs="Arial"/>
        </w:rPr>
      </w:pPr>
      <w:r>
        <w:rPr>
          <w:rFonts w:ascii="Arial" w:hAnsi="Arial" w:cs="Arial"/>
        </w:rPr>
        <w:t>15</w:t>
      </w:r>
      <w:r w:rsidR="00C26058" w:rsidRPr="00445E52">
        <w:rPr>
          <w:rFonts w:ascii="Arial" w:hAnsi="Arial" w:cs="Arial"/>
        </w:rPr>
        <w:t>. Zamawiający nie prowadzi postępowania w celu zawarcia umowy ramowej.</w:t>
      </w:r>
    </w:p>
    <w:p w:rsidR="00C26058" w:rsidRPr="00445E52" w:rsidRDefault="00EA6B66" w:rsidP="00026A89">
      <w:pPr>
        <w:pStyle w:val="Standard"/>
        <w:spacing w:after="0" w:line="240" w:lineRule="auto"/>
        <w:jc w:val="both"/>
        <w:rPr>
          <w:rFonts w:ascii="Arial" w:hAnsi="Arial" w:cs="Arial"/>
        </w:rPr>
      </w:pPr>
      <w:r>
        <w:rPr>
          <w:rFonts w:ascii="Arial" w:hAnsi="Arial" w:cs="Arial"/>
        </w:rPr>
        <w:t>16</w:t>
      </w:r>
      <w:r w:rsidR="00C26058" w:rsidRPr="00445E52">
        <w:rPr>
          <w:rFonts w:ascii="Arial" w:hAnsi="Arial" w:cs="Arial"/>
        </w:rPr>
        <w:t>. Zamawiający nie przewiduje przeprowadzenia aukcji elektronicznej.</w:t>
      </w:r>
    </w:p>
    <w:p w:rsidR="00C26058" w:rsidRPr="00445E52" w:rsidRDefault="00EA6B66" w:rsidP="00026A89">
      <w:pPr>
        <w:pStyle w:val="Standard"/>
        <w:spacing w:after="0" w:line="240" w:lineRule="auto"/>
        <w:jc w:val="both"/>
        <w:rPr>
          <w:rFonts w:ascii="Arial" w:hAnsi="Arial" w:cs="Arial"/>
        </w:rPr>
      </w:pPr>
      <w:r>
        <w:rPr>
          <w:rFonts w:ascii="Arial" w:hAnsi="Arial" w:cs="Arial"/>
        </w:rPr>
        <w:t>17</w:t>
      </w:r>
      <w:r w:rsidR="00C26058" w:rsidRPr="00445E52">
        <w:rPr>
          <w:rFonts w:ascii="Arial" w:hAnsi="Arial" w:cs="Arial"/>
        </w:rPr>
        <w:t>. Zamawiający nie zastrzega żadnego elementu zamówienia do osobistej realizacji przez Wykonawcę.</w:t>
      </w:r>
    </w:p>
    <w:p w:rsidR="00C26058" w:rsidRPr="00445E52" w:rsidRDefault="00EA6B66" w:rsidP="00026A89">
      <w:pPr>
        <w:pStyle w:val="Standard"/>
        <w:spacing w:after="0" w:line="240" w:lineRule="auto"/>
        <w:jc w:val="both"/>
        <w:rPr>
          <w:rFonts w:ascii="Arial" w:hAnsi="Arial" w:cs="Arial"/>
        </w:rPr>
      </w:pPr>
      <w:r>
        <w:rPr>
          <w:rFonts w:ascii="Arial" w:hAnsi="Arial" w:cs="Arial"/>
        </w:rPr>
        <w:t>18</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445E52" w:rsidRDefault="00EA6B66" w:rsidP="00026A89">
      <w:pPr>
        <w:pStyle w:val="Standard"/>
        <w:spacing w:after="0" w:line="240" w:lineRule="auto"/>
        <w:jc w:val="both"/>
        <w:rPr>
          <w:rFonts w:ascii="Arial" w:hAnsi="Arial" w:cs="Arial"/>
        </w:rPr>
      </w:pPr>
      <w:r>
        <w:rPr>
          <w:rFonts w:ascii="Arial" w:hAnsi="Arial" w:cs="Arial"/>
        </w:rPr>
        <w:t>19</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0468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502A16">
        <w:rPr>
          <w:rFonts w:ascii="Arial" w:eastAsia="Arial" w:hAnsi="Arial"/>
          <w:kern w:val="0"/>
          <w:sz w:val="22"/>
          <w:szCs w:val="22"/>
          <w:lang w:eastAsia="pl-PL" w:bidi="ar-SA"/>
        </w:rPr>
        <w:t>Usługa zostanie zrealizowana</w:t>
      </w:r>
      <w:r>
        <w:rPr>
          <w:rFonts w:ascii="Arial" w:eastAsia="Arial" w:hAnsi="Arial"/>
          <w:kern w:val="0"/>
          <w:sz w:val="22"/>
          <w:szCs w:val="22"/>
          <w:lang w:eastAsia="pl-PL" w:bidi="ar-SA"/>
        </w:rPr>
        <w:t xml:space="preserve"> sukcesywnie </w:t>
      </w:r>
      <w:r w:rsidRPr="000615DD">
        <w:rPr>
          <w:rFonts w:ascii="Arial" w:eastAsia="Arial" w:hAnsi="Arial"/>
          <w:kern w:val="0"/>
          <w:sz w:val="22"/>
          <w:szCs w:val="22"/>
          <w:lang w:eastAsia="pl-PL" w:bidi="ar-SA"/>
        </w:rPr>
        <w:t>przez okres 24 miesięcy od daty zawarcia umowy</w:t>
      </w:r>
      <w:r>
        <w:rPr>
          <w:rFonts w:ascii="Arial" w:eastAsia="Arial" w:hAnsi="Arial"/>
          <w:kern w:val="0"/>
          <w:sz w:val="22"/>
          <w:szCs w:val="22"/>
          <w:lang w:eastAsia="pl-PL" w:bidi="ar-SA"/>
        </w:rPr>
        <w:t>, zgodnie z harmonogramem zawartym w załączniku nr 2 do SIWZ – formularz</w:t>
      </w:r>
      <w:r w:rsidR="00502A16">
        <w:rPr>
          <w:rFonts w:ascii="Arial" w:eastAsia="Arial" w:hAnsi="Arial"/>
          <w:kern w:val="0"/>
          <w:sz w:val="22"/>
          <w:szCs w:val="22"/>
          <w:lang w:eastAsia="pl-PL" w:bidi="ar-SA"/>
        </w:rPr>
        <w:t>u</w:t>
      </w:r>
      <w:r>
        <w:rPr>
          <w:rFonts w:ascii="Arial" w:eastAsia="Arial" w:hAnsi="Arial"/>
          <w:kern w:val="0"/>
          <w:sz w:val="22"/>
          <w:szCs w:val="22"/>
          <w:lang w:eastAsia="pl-PL" w:bidi="ar-SA"/>
        </w:rPr>
        <w:t xml:space="preserve"> asortymentowo – cenowy</w:t>
      </w:r>
      <w:r w:rsidR="00502A16">
        <w:rPr>
          <w:rFonts w:ascii="Arial" w:eastAsia="Arial" w:hAnsi="Arial"/>
          <w:kern w:val="0"/>
          <w:sz w:val="22"/>
          <w:szCs w:val="22"/>
          <w:lang w:eastAsia="pl-PL" w:bidi="ar-SA"/>
        </w:rPr>
        <w:t>m</w:t>
      </w:r>
      <w:r>
        <w:rPr>
          <w:rFonts w:ascii="Arial" w:eastAsia="Arial" w:hAnsi="Arial"/>
          <w:kern w:val="0"/>
          <w:sz w:val="22"/>
          <w:szCs w:val="22"/>
          <w:lang w:eastAsia="pl-PL" w:bidi="ar-SA"/>
        </w:rPr>
        <w:t>.</w:t>
      </w:r>
    </w:p>
    <w:p w:rsidR="00C26058" w:rsidRPr="007B1E4D" w:rsidRDefault="00502A16"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2.Szczegółowe</w:t>
      </w:r>
      <w:r w:rsidR="00C26058" w:rsidRPr="00445E52">
        <w:rPr>
          <w:rFonts w:ascii="Arial" w:eastAsia="Arial" w:hAnsi="Arial"/>
          <w:kern w:val="0"/>
          <w:sz w:val="22"/>
          <w:szCs w:val="22"/>
          <w:lang w:eastAsia="pl-PL" w:bidi="ar-SA"/>
        </w:rPr>
        <w:t xml:space="preserve"> warunki </w:t>
      </w:r>
      <w:r w:rsidR="00C26058">
        <w:rPr>
          <w:rFonts w:ascii="Arial" w:eastAsia="Arial" w:hAnsi="Arial"/>
          <w:kern w:val="0"/>
          <w:sz w:val="22"/>
          <w:szCs w:val="22"/>
          <w:lang w:eastAsia="pl-PL" w:bidi="ar-SA"/>
        </w:rPr>
        <w:t>usługi</w:t>
      </w:r>
      <w:r w:rsidR="00C26058" w:rsidRPr="00445E52">
        <w:rPr>
          <w:rFonts w:ascii="Arial" w:eastAsia="Arial" w:hAnsi="Arial"/>
          <w:kern w:val="0"/>
          <w:sz w:val="22"/>
          <w:szCs w:val="22"/>
          <w:lang w:eastAsia="pl-PL" w:bidi="ar-SA"/>
        </w:rPr>
        <w:t xml:space="preserve"> zostały określone we wzorze umowy</w:t>
      </w:r>
      <w:r w:rsidR="00C26058" w:rsidRPr="007B1E4D">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V. TERMIN I WARUNKI PŁATNOŚCI</w:t>
            </w:r>
          </w:p>
        </w:tc>
      </w:tr>
    </w:tbl>
    <w:p w:rsidR="00C26058" w:rsidRPr="007B1E4D" w:rsidRDefault="00C26058" w:rsidP="000468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0468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0468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w:t>
      </w:r>
      <w:r>
        <w:rPr>
          <w:rFonts w:ascii="Arial" w:eastAsia="Arial" w:hAnsi="Arial"/>
          <w:kern w:val="0"/>
          <w:sz w:val="22"/>
          <w:szCs w:val="20"/>
          <w:lang w:eastAsia="pl-PL" w:bidi="ar-SA"/>
        </w:rPr>
        <w:t xml:space="preserve">nie krótszym niż 30 dni i nie dłuższym niż </w:t>
      </w:r>
      <w:r w:rsidRPr="007B1E4D">
        <w:rPr>
          <w:rFonts w:ascii="Arial" w:eastAsia="Arial" w:hAnsi="Arial"/>
          <w:kern w:val="0"/>
          <w:sz w:val="22"/>
          <w:szCs w:val="20"/>
          <w:lang w:eastAsia="pl-PL" w:bidi="ar-SA"/>
        </w:rPr>
        <w:t xml:space="preserve">do </w:t>
      </w:r>
      <w:r>
        <w:rPr>
          <w:rFonts w:ascii="Arial" w:eastAsia="Arial" w:hAnsi="Arial"/>
          <w:kern w:val="0"/>
          <w:sz w:val="22"/>
          <w:szCs w:val="20"/>
          <w:lang w:eastAsia="pl-PL" w:bidi="ar-SA"/>
        </w:rPr>
        <w:t>6</w:t>
      </w:r>
      <w:r w:rsidRPr="007B1E4D">
        <w:rPr>
          <w:rFonts w:ascii="Arial" w:eastAsia="Arial" w:hAnsi="Arial"/>
          <w:kern w:val="0"/>
          <w:sz w:val="22"/>
          <w:szCs w:val="20"/>
          <w:lang w:eastAsia="pl-PL" w:bidi="ar-SA"/>
        </w:rPr>
        <w:t xml:space="preserve">0 dni </w:t>
      </w:r>
      <w:r>
        <w:rPr>
          <w:rFonts w:ascii="Arial" w:eastAsia="Arial" w:hAnsi="Arial"/>
          <w:kern w:val="0"/>
          <w:sz w:val="22"/>
          <w:szCs w:val="20"/>
          <w:lang w:eastAsia="pl-PL" w:bidi="ar-SA"/>
        </w:rPr>
        <w:t xml:space="preserve">(zgodnie z ofertą)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 xml:space="preserve">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0468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0"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520464">
            <w:pPr>
              <w:spacing w:line="276" w:lineRule="auto"/>
              <w:jc w:val="both"/>
              <w:rPr>
                <w:rFonts w:ascii="Arial" w:eastAsia="Times New Roman" w:hAnsi="Arial"/>
                <w:sz w:val="22"/>
                <w:szCs w:val="22"/>
              </w:rPr>
            </w:pPr>
            <w:r w:rsidRPr="00C10597">
              <w:rPr>
                <w:rFonts w:ascii="Arial" w:eastAsia="Times New Roman" w:hAnsi="Arial"/>
                <w:b/>
                <w:sz w:val="22"/>
                <w:szCs w:val="22"/>
              </w:rPr>
              <w:t xml:space="preserve">X. INFORMACJE O SPOSOBIE POROZUMIEWANIA SIĘ ZAMAWIAJĄCEGO </w:t>
            </w:r>
            <w:r w:rsidRPr="00C10597">
              <w:rPr>
                <w:rFonts w:ascii="Arial" w:eastAsia="Times New Roman" w:hAnsi="Arial"/>
                <w:b/>
                <w:sz w:val="22"/>
                <w:szCs w:val="22"/>
              </w:rPr>
              <w:br/>
              <w:t xml:space="preserve">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1"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2"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3"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4"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Default="009C7C22" w:rsidP="009C7C22">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9C7C22" w:rsidRP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0113B5">
        <w:rPr>
          <w:rFonts w:ascii="Arial" w:eastAsia="Arial" w:hAnsi="Arial"/>
          <w:b/>
          <w:i/>
          <w:kern w:val="0"/>
          <w:sz w:val="22"/>
          <w:szCs w:val="20"/>
          <w:highlight w:val="yellow"/>
          <w:lang w:eastAsia="pl-PL" w:bidi="ar-SA"/>
        </w:rPr>
        <w:t>08.</w:t>
      </w:r>
      <w:r w:rsidR="005C0860">
        <w:rPr>
          <w:rFonts w:ascii="Arial" w:eastAsia="Arial" w:hAnsi="Arial"/>
          <w:b/>
          <w:i/>
          <w:kern w:val="0"/>
          <w:sz w:val="22"/>
          <w:szCs w:val="20"/>
          <w:highlight w:val="yellow"/>
          <w:lang w:eastAsia="pl-PL" w:bidi="ar-SA"/>
        </w:rPr>
        <w:t>07</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5C0860">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C26058" w:rsidRPr="00C26058" w:rsidRDefault="00C26058" w:rsidP="00C26058">
      <w:pPr>
        <w:widowControl/>
        <w:suppressAutoHyphens w:val="0"/>
        <w:spacing w:line="314" w:lineRule="exact"/>
        <w:jc w:val="center"/>
        <w:rPr>
          <w:rFonts w:ascii="Arial" w:eastAsia="Arial" w:hAnsi="Arial"/>
          <w:b/>
          <w:kern w:val="0"/>
          <w:sz w:val="22"/>
          <w:szCs w:val="22"/>
          <w:lang w:eastAsia="pl-PL" w:bidi="ar-SA"/>
        </w:rPr>
      </w:pPr>
      <w:r w:rsidRPr="00C26058">
        <w:rPr>
          <w:rFonts w:ascii="Arial" w:eastAsia="Arial" w:hAnsi="Arial"/>
          <w:b/>
          <w:kern w:val="0"/>
          <w:sz w:val="22"/>
          <w:szCs w:val="22"/>
          <w:lang w:eastAsia="pl-PL" w:bidi="ar-SA"/>
        </w:rPr>
        <w:t xml:space="preserve">Usługa pogwarancyjnych przeglądów okresowych sprzętu medycznego – </w:t>
      </w:r>
      <w:r w:rsidR="00E35A83">
        <w:rPr>
          <w:rFonts w:ascii="Arial" w:eastAsia="Arial" w:hAnsi="Arial"/>
          <w:b/>
          <w:kern w:val="0"/>
          <w:sz w:val="22"/>
          <w:szCs w:val="22"/>
          <w:lang w:eastAsia="pl-PL" w:bidi="ar-SA"/>
        </w:rPr>
        <w:t>16</w:t>
      </w:r>
      <w:r w:rsidRPr="00C26058">
        <w:rPr>
          <w:rFonts w:ascii="Arial" w:eastAsia="Arial" w:hAnsi="Arial"/>
          <w:b/>
          <w:kern w:val="0"/>
          <w:sz w:val="22"/>
          <w:szCs w:val="22"/>
          <w:lang w:eastAsia="pl-PL" w:bidi="ar-SA"/>
        </w:rPr>
        <w:t xml:space="preserve"> pakietów</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C26058">
        <w:rPr>
          <w:rFonts w:ascii="Arial" w:eastAsia="Arial" w:hAnsi="Arial"/>
          <w:b/>
          <w:kern w:val="0"/>
          <w:sz w:val="22"/>
          <w:szCs w:val="20"/>
          <w:lang w:eastAsia="pl-PL" w:bidi="ar-SA"/>
        </w:rPr>
        <w:t>31</w:t>
      </w:r>
      <w:r w:rsidR="00A35BE5">
        <w:rPr>
          <w:rFonts w:ascii="Arial" w:eastAsia="Arial" w:hAnsi="Arial"/>
          <w:b/>
          <w:kern w:val="0"/>
          <w:sz w:val="22"/>
          <w:szCs w:val="20"/>
          <w:lang w:eastAsia="pl-PL" w:bidi="ar-SA"/>
        </w:rPr>
        <w:t>/1/</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8573BA"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0113B5">
        <w:rPr>
          <w:rFonts w:ascii="Arial" w:eastAsia="Arial" w:hAnsi="Arial"/>
          <w:b/>
          <w:i/>
          <w:kern w:val="0"/>
          <w:sz w:val="22"/>
          <w:szCs w:val="20"/>
          <w:highlight w:val="yellow"/>
          <w:lang w:eastAsia="pl-PL" w:bidi="ar-SA"/>
        </w:rPr>
        <w:t>13.</w:t>
      </w:r>
      <w:r w:rsidR="005C0860">
        <w:rPr>
          <w:rFonts w:ascii="Arial" w:eastAsia="Arial" w:hAnsi="Arial"/>
          <w:b/>
          <w:i/>
          <w:kern w:val="0"/>
          <w:sz w:val="22"/>
          <w:szCs w:val="20"/>
          <w:highlight w:val="yellow"/>
          <w:lang w:eastAsia="pl-PL" w:bidi="ar-SA"/>
        </w:rPr>
        <w:t>07.</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lastRenderedPageBreak/>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 xml:space="preserve">ków albo przez inną osobę działającą na podstawie pełnomocnictwa udzielonego przez wszystkich </w:t>
      </w:r>
      <w:r>
        <w:rPr>
          <w:rFonts w:ascii="Arial" w:eastAsia="Calibri" w:hAnsi="Arial"/>
          <w:kern w:val="0"/>
          <w:sz w:val="22"/>
          <w:szCs w:val="22"/>
          <w:lang w:eastAsia="en-US" w:bidi="ar-SA"/>
        </w:rPr>
        <w:lastRenderedPageBreak/>
        <w:t>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0113B5">
        <w:rPr>
          <w:rFonts w:ascii="Arial" w:eastAsia="Arial" w:hAnsi="Arial"/>
          <w:b/>
          <w:kern w:val="0"/>
          <w:sz w:val="22"/>
          <w:szCs w:val="20"/>
          <w:highlight w:val="yellow"/>
          <w:lang w:eastAsia="pl-PL" w:bidi="ar-SA"/>
        </w:rPr>
        <w:t>13</w:t>
      </w:r>
      <w:r w:rsidR="00176B29">
        <w:rPr>
          <w:rFonts w:ascii="Arial" w:eastAsia="Arial" w:hAnsi="Arial"/>
          <w:b/>
          <w:kern w:val="0"/>
          <w:sz w:val="22"/>
          <w:szCs w:val="20"/>
          <w:highlight w:val="yellow"/>
          <w:lang w:eastAsia="pl-PL" w:bidi="ar-SA"/>
        </w:rPr>
        <w:t>.</w:t>
      </w:r>
      <w:r w:rsidR="00A35BE5">
        <w:rPr>
          <w:rFonts w:ascii="Arial" w:eastAsia="Arial" w:hAnsi="Arial"/>
          <w:b/>
          <w:kern w:val="0"/>
          <w:sz w:val="22"/>
          <w:szCs w:val="20"/>
          <w:highlight w:val="yellow"/>
          <w:lang w:eastAsia="pl-PL" w:bidi="ar-SA"/>
        </w:rPr>
        <w:t>07</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0113B5">
        <w:rPr>
          <w:rFonts w:ascii="Arial" w:eastAsia="Arial" w:hAnsi="Arial"/>
          <w:b/>
          <w:kern w:val="0"/>
          <w:sz w:val="22"/>
          <w:szCs w:val="20"/>
          <w:highlight w:val="yellow"/>
          <w:lang w:eastAsia="pl-PL" w:bidi="ar-SA"/>
        </w:rPr>
        <w:t>13</w:t>
      </w:r>
      <w:bookmarkStart w:id="4" w:name="_GoBack"/>
      <w:bookmarkEnd w:id="4"/>
      <w:r w:rsidR="00176B29">
        <w:rPr>
          <w:rFonts w:ascii="Arial" w:eastAsia="Arial" w:hAnsi="Arial"/>
          <w:b/>
          <w:kern w:val="0"/>
          <w:sz w:val="22"/>
          <w:szCs w:val="20"/>
          <w:highlight w:val="yellow"/>
          <w:lang w:eastAsia="pl-PL" w:bidi="ar-SA"/>
        </w:rPr>
        <w:t>.</w:t>
      </w:r>
      <w:r w:rsidR="00A35BE5">
        <w:rPr>
          <w:rFonts w:ascii="Arial" w:eastAsia="Arial" w:hAnsi="Arial"/>
          <w:b/>
          <w:kern w:val="0"/>
          <w:sz w:val="22"/>
          <w:szCs w:val="20"/>
          <w:highlight w:val="yellow"/>
          <w:lang w:eastAsia="pl-PL" w:bidi="ar-SA"/>
        </w:rPr>
        <w:t>07</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520464">
            <w:pPr>
              <w:spacing w:before="120" w:line="276" w:lineRule="auto"/>
              <w:ind w:left="709" w:hanging="709"/>
              <w:jc w:val="both"/>
              <w:rPr>
                <w:rFonts w:ascii="Arial" w:eastAsia="Times New Roman" w:hAnsi="Arial"/>
                <w:sz w:val="22"/>
                <w:szCs w:val="22"/>
              </w:rPr>
            </w:pPr>
            <w:r w:rsidRPr="00C10597">
              <w:rPr>
                <w:rFonts w:ascii="Arial" w:eastAsia="Times New Roman" w:hAnsi="Arial"/>
                <w:b/>
                <w:sz w:val="22"/>
                <w:szCs w:val="22"/>
              </w:rPr>
              <w:t xml:space="preserve">XVIII. OPIS KRYTERIÓW, KTÓRYMI ZAMAWIAJĄCY BĘDZIE SIĘ KIEROWAŁ PRZY  WYBORZE  OFERTY, WRAZ Z PODANIEM ZNACZENIA TYCH KRYTERIÓW </w:t>
            </w:r>
            <w:r w:rsidRPr="00C10597">
              <w:rPr>
                <w:rFonts w:ascii="Arial" w:eastAsia="Times New Roman" w:hAnsi="Arial"/>
                <w:b/>
                <w:sz w:val="22"/>
                <w:szCs w:val="22"/>
              </w:rPr>
              <w:br/>
              <w:t>I SPOSOBU  OCENY OFERT.</w:t>
            </w:r>
          </w:p>
        </w:tc>
      </w:tr>
    </w:tbl>
    <w:p w:rsidR="00C26058" w:rsidRPr="007B1E4D" w:rsidRDefault="00C26058" w:rsidP="00C26058">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0468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0468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0468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0468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Pr="007B1E4D" w:rsidRDefault="00C26058" w:rsidP="000468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Termin płatności </w:t>
      </w:r>
      <w:r w:rsidRPr="007B1E4D">
        <w:rPr>
          <w:rFonts w:ascii="Times New Roman" w:eastAsia="Times New Roman" w:hAnsi="Times New Roman"/>
          <w:kern w:val="0"/>
          <w:sz w:val="20"/>
          <w:szCs w:val="20"/>
          <w:lang w:eastAsia="pl-PL" w:bidi="ar-SA"/>
        </w:rPr>
        <w:tab/>
      </w:r>
      <w:r>
        <w:rPr>
          <w:rFonts w:ascii="Arial" w:eastAsia="Arial" w:hAnsi="Arial"/>
          <w:kern w:val="0"/>
          <w:sz w:val="22"/>
          <w:szCs w:val="20"/>
          <w:lang w:eastAsia="pl-PL" w:bidi="ar-SA"/>
        </w:rPr>
        <w:t>– waga 4</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C26058" w:rsidRPr="007B1E4D" w:rsidRDefault="00C26058" w:rsidP="000468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7B1E4D" w:rsidRDefault="00C26058" w:rsidP="00C26058">
      <w:pPr>
        <w:widowControl/>
        <w:numPr>
          <w:ilvl w:val="0"/>
          <w:numId w:val="64"/>
        </w:numPr>
        <w:tabs>
          <w:tab w:val="left" w:pos="70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0468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046822">
      <w:pPr>
        <w:widowControl/>
        <w:suppressAutoHyphens w:val="0"/>
        <w:autoSpaceDN/>
        <w:spacing w:line="274" w:lineRule="auto"/>
        <w:ind w:left="3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0468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C26058" w:rsidP="00046822">
      <w:pPr>
        <w:widowControl/>
        <w:suppressAutoHyphens w:val="0"/>
        <w:autoSpaceDN/>
        <w:spacing w:line="0" w:lineRule="atLeast"/>
        <w:ind w:right="-23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najniższa zaoferowana cena brutto</w:t>
      </w:r>
    </w:p>
    <w:p w:rsidR="00C26058" w:rsidRPr="007B1E4D" w:rsidRDefault="00C26058" w:rsidP="000468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0468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lastRenderedPageBreak/>
        <w:t>A  =  ----------------------------------------------------------------  x  60 punktów</w:t>
      </w:r>
    </w:p>
    <w:p w:rsidR="00C26058" w:rsidRPr="007B1E4D" w:rsidRDefault="00057D5E" w:rsidP="00046822">
      <w:pPr>
        <w:widowControl/>
        <w:suppressAutoHyphens w:val="0"/>
        <w:autoSpaceDN/>
        <w:spacing w:line="0" w:lineRule="atLeast"/>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cena brutto oferty badanej</w:t>
      </w:r>
    </w:p>
    <w:p w:rsidR="00C26058" w:rsidRPr="007B1E4D" w:rsidRDefault="00C26058" w:rsidP="000468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Default="00C26058" w:rsidP="00046822">
      <w:pPr>
        <w:widowControl/>
        <w:suppressAutoHyphens w:val="0"/>
        <w:autoSpaceDN/>
        <w:spacing w:line="0" w:lineRule="atLeast"/>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046822">
      <w:pPr>
        <w:widowControl/>
        <w:suppressAutoHyphens w:val="0"/>
        <w:autoSpaceDN/>
        <w:spacing w:line="0" w:lineRule="atLeast"/>
        <w:textAlignment w:val="auto"/>
        <w:rPr>
          <w:rFonts w:ascii="Arial" w:eastAsia="Arial" w:hAnsi="Arial"/>
          <w:kern w:val="0"/>
          <w:sz w:val="22"/>
          <w:szCs w:val="20"/>
          <w:lang w:eastAsia="pl-PL" w:bidi="ar-SA"/>
        </w:rPr>
      </w:pPr>
    </w:p>
    <w:p w:rsidR="00C26058" w:rsidRPr="007B1E4D" w:rsidRDefault="00C26058" w:rsidP="000468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C26058" w:rsidRDefault="00C26058" w:rsidP="00C26058">
      <w:pPr>
        <w:widowControl/>
        <w:numPr>
          <w:ilvl w:val="0"/>
          <w:numId w:val="64"/>
        </w:numPr>
        <w:tabs>
          <w:tab w:val="left" w:pos="708"/>
        </w:tabs>
        <w:suppressAutoHyphens w:val="0"/>
        <w:autoSpaceDN/>
        <w:spacing w:line="25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 xml:space="preserve">Termin </w:t>
      </w:r>
      <w:r>
        <w:rPr>
          <w:rFonts w:ascii="Arial" w:eastAsia="Arial" w:hAnsi="Arial"/>
          <w:b/>
          <w:kern w:val="0"/>
          <w:sz w:val="22"/>
          <w:szCs w:val="20"/>
          <w:lang w:eastAsia="pl-PL" w:bidi="ar-SA"/>
        </w:rPr>
        <w:t>płatności</w:t>
      </w:r>
      <w:r w:rsidRPr="007B1E4D">
        <w:rPr>
          <w:rFonts w:ascii="Arial" w:eastAsia="Arial" w:hAnsi="Arial"/>
          <w:kern w:val="0"/>
          <w:sz w:val="22"/>
          <w:szCs w:val="20"/>
          <w:lang w:eastAsia="pl-PL" w:bidi="ar-SA"/>
        </w:rPr>
        <w:t xml:space="preserve">” będzie liczone w następujący sposób: </w:t>
      </w:r>
    </w:p>
    <w:p w:rsidR="00C26058" w:rsidRDefault="00C26058" w:rsidP="00046822">
      <w:pPr>
        <w:widowControl/>
        <w:suppressAutoHyphens w:val="0"/>
        <w:autoSpaceDN/>
        <w:spacing w:line="274" w:lineRule="auto"/>
        <w:ind w:left="36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najwyższą l</w:t>
      </w:r>
      <w:r>
        <w:rPr>
          <w:rFonts w:ascii="Arial" w:eastAsia="Arial" w:hAnsi="Arial"/>
          <w:kern w:val="0"/>
          <w:sz w:val="22"/>
          <w:szCs w:val="20"/>
          <w:lang w:eastAsia="pl-PL" w:bidi="ar-SA"/>
        </w:rPr>
        <w:t>iczbę punktów za to kryterium (4</w:t>
      </w:r>
      <w:r w:rsidRPr="007B1E4D">
        <w:rPr>
          <w:rFonts w:ascii="Arial" w:eastAsia="Arial" w:hAnsi="Arial"/>
          <w:kern w:val="0"/>
          <w:sz w:val="22"/>
          <w:szCs w:val="20"/>
          <w:lang w:eastAsia="pl-PL" w:bidi="ar-SA"/>
        </w:rPr>
        <w:t xml:space="preserve">0 pkt) otrzyma oferta o </w:t>
      </w:r>
      <w:r>
        <w:rPr>
          <w:rFonts w:ascii="Arial" w:eastAsia="Arial" w:hAnsi="Arial"/>
          <w:kern w:val="0"/>
          <w:sz w:val="22"/>
          <w:szCs w:val="20"/>
          <w:lang w:eastAsia="pl-PL" w:bidi="ar-SA"/>
        </w:rPr>
        <w:t>najdłuższym terminie płatności:</w:t>
      </w:r>
    </w:p>
    <w:p w:rsidR="00C26058" w:rsidRDefault="00C26058" w:rsidP="00046822">
      <w:pPr>
        <w:widowControl/>
        <w:suppressAutoHyphens w:val="0"/>
        <w:autoSpaceDN/>
        <w:spacing w:line="274" w:lineRule="auto"/>
        <w:ind w:left="360"/>
        <w:textAlignment w:val="auto"/>
        <w:rPr>
          <w:rFonts w:ascii="Arial" w:eastAsia="Arial" w:hAnsi="Arial"/>
          <w:kern w:val="0"/>
          <w:sz w:val="22"/>
          <w:szCs w:val="20"/>
          <w:lang w:eastAsia="pl-PL" w:bidi="ar-SA"/>
        </w:rPr>
      </w:pPr>
    </w:p>
    <w:p w:rsidR="00C26058" w:rsidRPr="00E36B8E" w:rsidRDefault="00C26058" w:rsidP="00046822">
      <w:pPr>
        <w:widowControl/>
        <w:tabs>
          <w:tab w:val="left" w:pos="708"/>
        </w:tabs>
        <w:suppressAutoHyphens w:val="0"/>
        <w:autoSpaceDN/>
        <w:spacing w:line="255" w:lineRule="auto"/>
        <w:jc w:val="both"/>
        <w:textAlignment w:val="auto"/>
        <w:rPr>
          <w:rFonts w:ascii="Arial" w:eastAsia="Arial" w:hAnsi="Arial"/>
          <w:b/>
          <w:kern w:val="0"/>
          <w:sz w:val="22"/>
          <w:szCs w:val="20"/>
          <w:lang w:eastAsia="pl-PL" w:bidi="ar-SA"/>
        </w:rPr>
      </w:pPr>
      <w:r w:rsidRPr="00E36B8E">
        <w:rPr>
          <w:rFonts w:ascii="Arial" w:hAnsi="Arial"/>
          <w:b/>
          <w:sz w:val="22"/>
          <w:szCs w:val="22"/>
        </w:rPr>
        <w:t>30 dni - 0 pkt.</w:t>
      </w:r>
    </w:p>
    <w:p w:rsidR="00C26058" w:rsidRPr="00E36B8E" w:rsidRDefault="00C26058" w:rsidP="00046822">
      <w:pPr>
        <w:spacing w:line="240" w:lineRule="exact"/>
        <w:rPr>
          <w:rFonts w:ascii="Arial" w:hAnsi="Arial"/>
          <w:b/>
          <w:sz w:val="22"/>
          <w:szCs w:val="22"/>
        </w:rPr>
      </w:pPr>
      <w:r w:rsidRPr="00E36B8E">
        <w:rPr>
          <w:rFonts w:ascii="Arial" w:hAnsi="Arial"/>
          <w:b/>
          <w:sz w:val="22"/>
          <w:szCs w:val="22"/>
        </w:rPr>
        <w:t>31-39 dni - 10 pkt.</w:t>
      </w:r>
    </w:p>
    <w:p w:rsidR="00C26058" w:rsidRPr="00E36B8E" w:rsidRDefault="00C26058" w:rsidP="00046822">
      <w:pPr>
        <w:spacing w:line="240" w:lineRule="exact"/>
        <w:rPr>
          <w:rFonts w:ascii="Arial" w:hAnsi="Arial"/>
          <w:b/>
          <w:sz w:val="22"/>
          <w:szCs w:val="22"/>
        </w:rPr>
      </w:pPr>
      <w:r w:rsidRPr="00E36B8E">
        <w:rPr>
          <w:rFonts w:ascii="Arial" w:hAnsi="Arial"/>
          <w:b/>
          <w:sz w:val="22"/>
          <w:szCs w:val="22"/>
        </w:rPr>
        <w:t>40-49 dni - 20 pkt.</w:t>
      </w:r>
    </w:p>
    <w:p w:rsidR="00C26058" w:rsidRPr="00E36B8E" w:rsidRDefault="00C26058" w:rsidP="00046822">
      <w:pPr>
        <w:spacing w:line="240" w:lineRule="exact"/>
        <w:rPr>
          <w:rFonts w:ascii="Arial" w:hAnsi="Arial"/>
          <w:b/>
          <w:sz w:val="22"/>
          <w:szCs w:val="22"/>
        </w:rPr>
      </w:pPr>
      <w:r w:rsidRPr="00E36B8E">
        <w:rPr>
          <w:rFonts w:ascii="Arial" w:hAnsi="Arial"/>
          <w:b/>
          <w:sz w:val="22"/>
          <w:szCs w:val="22"/>
        </w:rPr>
        <w:t>50-59 dni - 30 pkt.</w:t>
      </w:r>
    </w:p>
    <w:p w:rsidR="00C26058" w:rsidRPr="00E36B8E" w:rsidRDefault="00C26058" w:rsidP="00046822">
      <w:pPr>
        <w:spacing w:line="240" w:lineRule="exact"/>
        <w:rPr>
          <w:rFonts w:ascii="Arial" w:hAnsi="Arial"/>
          <w:b/>
          <w:sz w:val="22"/>
          <w:szCs w:val="22"/>
        </w:rPr>
      </w:pPr>
      <w:r w:rsidRPr="00E36B8E">
        <w:rPr>
          <w:rFonts w:ascii="Arial" w:hAnsi="Arial"/>
          <w:b/>
          <w:sz w:val="22"/>
          <w:szCs w:val="22"/>
        </w:rPr>
        <w:t>60 dni - 40 pkt.</w:t>
      </w:r>
    </w:p>
    <w:p w:rsidR="00C26058" w:rsidRDefault="00C26058" w:rsidP="00046822">
      <w:pPr>
        <w:widowControl/>
        <w:tabs>
          <w:tab w:val="left" w:pos="708"/>
        </w:tabs>
        <w:suppressAutoHyphens w:val="0"/>
        <w:autoSpaceDN/>
        <w:spacing w:line="255" w:lineRule="auto"/>
        <w:jc w:val="both"/>
        <w:textAlignment w:val="auto"/>
        <w:rPr>
          <w:rFonts w:ascii="Arial" w:eastAsia="Arial" w:hAnsi="Arial"/>
          <w:kern w:val="0"/>
          <w:sz w:val="22"/>
          <w:szCs w:val="20"/>
          <w:lang w:eastAsia="pl-PL" w:bidi="ar-SA"/>
        </w:rPr>
      </w:pPr>
    </w:p>
    <w:p w:rsidR="00C26058" w:rsidRDefault="00C26058" w:rsidP="00046822">
      <w:pPr>
        <w:widowControl/>
        <w:suppressAutoHyphens w:val="0"/>
        <w:autoSpaceDN/>
        <w:spacing w:line="0" w:lineRule="atLeast"/>
        <w:ind w:left="360"/>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B</w:t>
      </w:r>
      <w:r w:rsidRPr="007B1E4D">
        <w:rPr>
          <w:rFonts w:ascii="Arial" w:eastAsia="Arial" w:hAnsi="Arial"/>
          <w:kern w:val="0"/>
          <w:sz w:val="22"/>
          <w:szCs w:val="20"/>
          <w:lang w:eastAsia="pl-PL" w:bidi="ar-SA"/>
        </w:rPr>
        <w:t xml:space="preserve"> - ilość punktów za kryterium </w:t>
      </w:r>
      <w:r>
        <w:rPr>
          <w:rFonts w:ascii="Arial" w:eastAsia="Arial" w:hAnsi="Arial"/>
          <w:kern w:val="0"/>
          <w:sz w:val="22"/>
          <w:szCs w:val="20"/>
          <w:lang w:eastAsia="pl-PL" w:bidi="ar-SA"/>
        </w:rPr>
        <w:t>Termin płatności.</w:t>
      </w:r>
    </w:p>
    <w:p w:rsidR="00C26058" w:rsidRDefault="00C26058" w:rsidP="00046822">
      <w:pPr>
        <w:widowControl/>
        <w:tabs>
          <w:tab w:val="left" w:pos="708"/>
        </w:tabs>
        <w:suppressAutoHyphens w:val="0"/>
        <w:autoSpaceDN/>
        <w:spacing w:line="255" w:lineRule="auto"/>
        <w:jc w:val="both"/>
        <w:textAlignment w:val="auto"/>
        <w:rPr>
          <w:rFonts w:ascii="Times New Roman" w:eastAsia="Times New Roman" w:hAnsi="Times New Roman"/>
          <w:kern w:val="0"/>
          <w:sz w:val="20"/>
          <w:szCs w:val="20"/>
          <w:lang w:eastAsia="pl-PL" w:bidi="ar-SA"/>
        </w:rPr>
      </w:pPr>
    </w:p>
    <w:p w:rsidR="00C26058" w:rsidRPr="00D57CF6" w:rsidRDefault="00C26058" w:rsidP="00046822">
      <w:pPr>
        <w:pStyle w:val="Nagwek2"/>
        <w:spacing w:before="0" w:after="0" w:line="276" w:lineRule="auto"/>
        <w:rPr>
          <w:rFonts w:ascii="Arial" w:hAnsi="Arial" w:cs="Arial"/>
          <w:b w:val="0"/>
          <w:i w:val="0"/>
          <w:sz w:val="22"/>
          <w:szCs w:val="22"/>
        </w:rPr>
      </w:pPr>
      <w:r w:rsidRPr="00D57CF6">
        <w:rPr>
          <w:rFonts w:ascii="Arial" w:hAnsi="Arial" w:cs="Arial"/>
          <w:b w:val="0"/>
          <w:i w:val="0"/>
          <w:sz w:val="22"/>
          <w:szCs w:val="22"/>
        </w:rPr>
        <w:t xml:space="preserve">Zamawiający informuje, że deklarowany terminu płatności faktury nie może być krótszy niż 30 dni </w:t>
      </w:r>
      <w:r>
        <w:rPr>
          <w:rFonts w:ascii="Arial" w:hAnsi="Arial" w:cs="Arial"/>
          <w:b w:val="0"/>
          <w:i w:val="0"/>
          <w:sz w:val="22"/>
          <w:szCs w:val="22"/>
          <w:lang w:val="pl-PL"/>
        </w:rPr>
        <w:t>i</w:t>
      </w:r>
      <w:r w:rsidRPr="00D57CF6">
        <w:rPr>
          <w:rFonts w:ascii="Arial" w:hAnsi="Arial" w:cs="Arial"/>
          <w:b w:val="0"/>
          <w:i w:val="0"/>
          <w:sz w:val="22"/>
          <w:szCs w:val="22"/>
        </w:rPr>
        <w:t xml:space="preserve"> </w:t>
      </w:r>
      <w:r>
        <w:rPr>
          <w:rFonts w:ascii="Arial" w:hAnsi="Arial" w:cs="Arial"/>
          <w:b w:val="0"/>
          <w:i w:val="0"/>
          <w:sz w:val="22"/>
          <w:szCs w:val="22"/>
          <w:lang w:val="pl-PL"/>
        </w:rPr>
        <w:t xml:space="preserve">nie </w:t>
      </w:r>
      <w:r w:rsidRPr="00D57CF6">
        <w:rPr>
          <w:rFonts w:ascii="Arial" w:hAnsi="Arial" w:cs="Arial"/>
          <w:b w:val="0"/>
          <w:i w:val="0"/>
          <w:sz w:val="22"/>
          <w:szCs w:val="22"/>
        </w:rPr>
        <w:t xml:space="preserve">dłuższy niż 60 dni. Oferty z takimi terminami płatności faktury zostaną uznane za niezgodne z SIWZ i odrzucone na podstawie art. 89 ust. 1 pkt 2 ustawy </w:t>
      </w:r>
      <w:proofErr w:type="spellStart"/>
      <w:r w:rsidRPr="00D57CF6">
        <w:rPr>
          <w:rFonts w:ascii="Arial" w:hAnsi="Arial" w:cs="Arial"/>
          <w:b w:val="0"/>
          <w:i w:val="0"/>
          <w:sz w:val="22"/>
          <w:szCs w:val="22"/>
        </w:rPr>
        <w:t>Pzp</w:t>
      </w:r>
      <w:proofErr w:type="spellEnd"/>
      <w:r w:rsidRPr="00D57CF6">
        <w:rPr>
          <w:rFonts w:ascii="Arial" w:hAnsi="Arial" w:cs="Arial"/>
          <w:b w:val="0"/>
          <w:i w:val="0"/>
          <w:sz w:val="22"/>
          <w:szCs w:val="22"/>
        </w:rPr>
        <w:t>.</w:t>
      </w:r>
    </w:p>
    <w:p w:rsidR="00C26058" w:rsidRPr="007B1E4D" w:rsidRDefault="00C26058" w:rsidP="00046822">
      <w:pPr>
        <w:widowControl/>
        <w:tabs>
          <w:tab w:val="left" w:pos="708"/>
        </w:tabs>
        <w:suppressAutoHyphens w:val="0"/>
        <w:autoSpaceDN/>
        <w:spacing w:line="255" w:lineRule="auto"/>
        <w:jc w:val="both"/>
        <w:textAlignment w:val="auto"/>
        <w:rPr>
          <w:rFonts w:ascii="Times New Roman" w:eastAsia="Times New Roman" w:hAnsi="Times New Roman"/>
          <w:kern w:val="0"/>
          <w:sz w:val="20"/>
          <w:szCs w:val="20"/>
          <w:lang w:eastAsia="pl-PL" w:bidi="ar-SA"/>
        </w:rPr>
      </w:pPr>
    </w:p>
    <w:p w:rsidR="00C26058" w:rsidRPr="007B1E4D" w:rsidRDefault="00C26058" w:rsidP="00C26058">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 uzyskanych za kryterium „cena” i kryterium „</w:t>
      </w:r>
      <w:r>
        <w:rPr>
          <w:rFonts w:ascii="Arial" w:eastAsia="Arial" w:hAnsi="Arial"/>
          <w:kern w:val="0"/>
          <w:sz w:val="22"/>
          <w:szCs w:val="20"/>
          <w:lang w:eastAsia="pl-PL" w:bidi="ar-SA"/>
        </w:rPr>
        <w:t>termin płatności</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 xml:space="preserve">ISTOTNE DLA STRON POSTANOWIENIA, KTÓRE ZOSTANĄ WPROWADZONE DO TREŚCI ZAWIERANEJ UMOWY W SPRAWIE ZAMÓWIENIA PUBLICZNEGO, OGÓLNE WARUNKI UMOWY ALBO WZÓR UMOWY, JEŻELI ZAMAWIAJĄCY WYMAGA OD WYKONAWCY, ABY ZAWARŁ Z NIM </w:t>
            </w:r>
            <w:r w:rsidRPr="00964007">
              <w:rPr>
                <w:rFonts w:ascii="Arial" w:hAnsi="Arial" w:cs="Arial"/>
                <w:b/>
                <w:sz w:val="22"/>
                <w:szCs w:val="22"/>
              </w:rPr>
              <w:lastRenderedPageBreak/>
              <w:t>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5"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00057D5E">
        <w:rPr>
          <w:rFonts w:ascii="Arial" w:hAnsi="Arial"/>
          <w:color w:val="000000"/>
          <w:sz w:val="22"/>
          <w:szCs w:val="22"/>
          <w:lang w:eastAsia="pl-PL"/>
        </w:rPr>
        <w:t xml:space="preserve"> ze zm.</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5C0860">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lastRenderedPageBreak/>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Pr>
          <w:rFonts w:ascii="Arial" w:hAnsi="Arial"/>
          <w:sz w:val="22"/>
          <w:szCs w:val="22"/>
        </w:rPr>
        <w:t xml:space="preserve"> zasadniczej,</w:t>
      </w:r>
    </w:p>
    <w:p w:rsidR="00C26058" w:rsidRPr="009656E6" w:rsidRDefault="00C26058" w:rsidP="00C26058">
      <w:pPr>
        <w:spacing w:line="276" w:lineRule="auto"/>
        <w:rPr>
          <w:rFonts w:ascii="Arial" w:hAnsi="Arial"/>
          <w:sz w:val="22"/>
          <w:szCs w:val="22"/>
        </w:rPr>
      </w:pPr>
      <w:r>
        <w:rPr>
          <w:rFonts w:ascii="Arial" w:hAnsi="Arial"/>
          <w:sz w:val="22"/>
          <w:szCs w:val="22"/>
        </w:rPr>
        <w:t>nr 6 – Wzór umowy powierzenia przetwarzania danych osobowych.</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9C" w:rsidRDefault="005D679C">
      <w:r>
        <w:separator/>
      </w:r>
    </w:p>
  </w:endnote>
  <w:endnote w:type="continuationSeparator" w:id="0">
    <w:p w:rsidR="005D679C" w:rsidRDefault="005D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60" w:rsidRDefault="005C0860">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C0860" w:rsidRDefault="005C0860">
    <w:pPr>
      <w:pStyle w:val="Stopka"/>
      <w:jc w:val="center"/>
      <w:rPr>
        <w:rFonts w:ascii="Franklin Gothic Book" w:hAnsi="Franklin Gothic Book" w:cs="Calibri"/>
        <w:b/>
        <w:sz w:val="16"/>
        <w:szCs w:val="18"/>
      </w:rPr>
    </w:pPr>
  </w:p>
  <w:p w:rsidR="005C0860" w:rsidRDefault="005C0860">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113B5">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113B5">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9C" w:rsidRDefault="005D679C">
      <w:r>
        <w:rPr>
          <w:color w:val="000000"/>
        </w:rPr>
        <w:separator/>
      </w:r>
    </w:p>
  </w:footnote>
  <w:footnote w:type="continuationSeparator" w:id="0">
    <w:p w:rsidR="005D679C" w:rsidRDefault="005D6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3"/>
  </w:num>
  <w:num w:numId="3">
    <w:abstractNumId w:val="24"/>
  </w:num>
  <w:num w:numId="4">
    <w:abstractNumId w:val="32"/>
  </w:num>
  <w:num w:numId="5">
    <w:abstractNumId w:val="34"/>
  </w:num>
  <w:num w:numId="6">
    <w:abstractNumId w:val="44"/>
  </w:num>
  <w:num w:numId="7">
    <w:abstractNumId w:val="51"/>
  </w:num>
  <w:num w:numId="8">
    <w:abstractNumId w:val="50"/>
  </w:num>
  <w:num w:numId="9">
    <w:abstractNumId w:val="58"/>
  </w:num>
  <w:num w:numId="10">
    <w:abstractNumId w:val="54"/>
  </w:num>
  <w:num w:numId="11">
    <w:abstractNumId w:val="37"/>
  </w:num>
  <w:num w:numId="12">
    <w:abstractNumId w:val="35"/>
  </w:num>
  <w:num w:numId="13">
    <w:abstractNumId w:val="22"/>
  </w:num>
  <w:num w:numId="14">
    <w:abstractNumId w:val="39"/>
  </w:num>
  <w:num w:numId="15">
    <w:abstractNumId w:val="20"/>
  </w:num>
  <w:num w:numId="16">
    <w:abstractNumId w:val="53"/>
  </w:num>
  <w:num w:numId="17">
    <w:abstractNumId w:val="19"/>
  </w:num>
  <w:num w:numId="18">
    <w:abstractNumId w:val="46"/>
  </w:num>
  <w:num w:numId="19">
    <w:abstractNumId w:val="60"/>
  </w:num>
  <w:num w:numId="20">
    <w:abstractNumId w:val="52"/>
  </w:num>
  <w:num w:numId="21">
    <w:abstractNumId w:val="36"/>
  </w:num>
  <w:num w:numId="22">
    <w:abstractNumId w:val="23"/>
  </w:num>
  <w:num w:numId="23">
    <w:abstractNumId w:val="61"/>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7"/>
  </w:num>
  <w:num w:numId="46">
    <w:abstractNumId w:val="49"/>
  </w:num>
  <w:num w:numId="47">
    <w:abstractNumId w:val="38"/>
  </w:num>
  <w:num w:numId="48">
    <w:abstractNumId w:val="47"/>
  </w:num>
  <w:num w:numId="49">
    <w:abstractNumId w:val="48"/>
  </w:num>
  <w:num w:numId="50">
    <w:abstractNumId w:val="59"/>
  </w:num>
  <w:num w:numId="51">
    <w:abstractNumId w:val="27"/>
  </w:num>
  <w:num w:numId="52">
    <w:abstractNumId w:val="55"/>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4"/>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13B5"/>
    <w:rsid w:val="00011ED3"/>
    <w:rsid w:val="000130B4"/>
    <w:rsid w:val="00024A6A"/>
    <w:rsid w:val="00026A89"/>
    <w:rsid w:val="000276C3"/>
    <w:rsid w:val="00031EF9"/>
    <w:rsid w:val="000431A3"/>
    <w:rsid w:val="00046822"/>
    <w:rsid w:val="0004710F"/>
    <w:rsid w:val="00050C71"/>
    <w:rsid w:val="00057BDD"/>
    <w:rsid w:val="00057D5E"/>
    <w:rsid w:val="000615DD"/>
    <w:rsid w:val="0006343C"/>
    <w:rsid w:val="000674E9"/>
    <w:rsid w:val="00073E70"/>
    <w:rsid w:val="00075E8E"/>
    <w:rsid w:val="0008269C"/>
    <w:rsid w:val="000A6D64"/>
    <w:rsid w:val="000C165D"/>
    <w:rsid w:val="000C230F"/>
    <w:rsid w:val="000C7AD1"/>
    <w:rsid w:val="000D0980"/>
    <w:rsid w:val="000D3C2E"/>
    <w:rsid w:val="000E6A73"/>
    <w:rsid w:val="0010087A"/>
    <w:rsid w:val="00106E6B"/>
    <w:rsid w:val="00111845"/>
    <w:rsid w:val="00112BCF"/>
    <w:rsid w:val="00121865"/>
    <w:rsid w:val="001348AE"/>
    <w:rsid w:val="00137FC6"/>
    <w:rsid w:val="0014311D"/>
    <w:rsid w:val="001512AD"/>
    <w:rsid w:val="00175BC6"/>
    <w:rsid w:val="00176B29"/>
    <w:rsid w:val="001B3784"/>
    <w:rsid w:val="001D2729"/>
    <w:rsid w:val="001D6ED0"/>
    <w:rsid w:val="001D7E94"/>
    <w:rsid w:val="001E3791"/>
    <w:rsid w:val="001F5AD5"/>
    <w:rsid w:val="00206577"/>
    <w:rsid w:val="00207F67"/>
    <w:rsid w:val="00223CA0"/>
    <w:rsid w:val="00250817"/>
    <w:rsid w:val="00264B2B"/>
    <w:rsid w:val="002653EE"/>
    <w:rsid w:val="0026675F"/>
    <w:rsid w:val="0027131D"/>
    <w:rsid w:val="00274EE4"/>
    <w:rsid w:val="00280082"/>
    <w:rsid w:val="00285C18"/>
    <w:rsid w:val="00297C64"/>
    <w:rsid w:val="002A0352"/>
    <w:rsid w:val="002C05C7"/>
    <w:rsid w:val="002C5BCD"/>
    <w:rsid w:val="002E3EF0"/>
    <w:rsid w:val="002E6225"/>
    <w:rsid w:val="002E7FED"/>
    <w:rsid w:val="002F6B48"/>
    <w:rsid w:val="003379E3"/>
    <w:rsid w:val="00337B86"/>
    <w:rsid w:val="00340B39"/>
    <w:rsid w:val="00352BC1"/>
    <w:rsid w:val="003715EF"/>
    <w:rsid w:val="0038113E"/>
    <w:rsid w:val="00383F43"/>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55FB5"/>
    <w:rsid w:val="00475148"/>
    <w:rsid w:val="00490CAC"/>
    <w:rsid w:val="004B2F1C"/>
    <w:rsid w:val="004D1351"/>
    <w:rsid w:val="004D5D4E"/>
    <w:rsid w:val="004E67CC"/>
    <w:rsid w:val="004F0C50"/>
    <w:rsid w:val="004F7861"/>
    <w:rsid w:val="00502A16"/>
    <w:rsid w:val="00503A96"/>
    <w:rsid w:val="00504B2D"/>
    <w:rsid w:val="00520464"/>
    <w:rsid w:val="00535E3D"/>
    <w:rsid w:val="0054183C"/>
    <w:rsid w:val="0054519B"/>
    <w:rsid w:val="00546739"/>
    <w:rsid w:val="0056253E"/>
    <w:rsid w:val="00562B23"/>
    <w:rsid w:val="00586C0F"/>
    <w:rsid w:val="00593391"/>
    <w:rsid w:val="005B3B9E"/>
    <w:rsid w:val="005B4A85"/>
    <w:rsid w:val="005B5E37"/>
    <w:rsid w:val="005B6491"/>
    <w:rsid w:val="005C0860"/>
    <w:rsid w:val="005C7C2B"/>
    <w:rsid w:val="005D679C"/>
    <w:rsid w:val="005E0DF5"/>
    <w:rsid w:val="005E3C72"/>
    <w:rsid w:val="005E72BF"/>
    <w:rsid w:val="005F6B85"/>
    <w:rsid w:val="00606A5B"/>
    <w:rsid w:val="00610B79"/>
    <w:rsid w:val="0061201F"/>
    <w:rsid w:val="006208DC"/>
    <w:rsid w:val="00641046"/>
    <w:rsid w:val="006503DE"/>
    <w:rsid w:val="00655522"/>
    <w:rsid w:val="00663DC5"/>
    <w:rsid w:val="00681170"/>
    <w:rsid w:val="00683BD0"/>
    <w:rsid w:val="00695A07"/>
    <w:rsid w:val="006A39D7"/>
    <w:rsid w:val="006A41C8"/>
    <w:rsid w:val="006A5FB9"/>
    <w:rsid w:val="006B1771"/>
    <w:rsid w:val="006B5A6A"/>
    <w:rsid w:val="006C5FFE"/>
    <w:rsid w:val="006D0BB3"/>
    <w:rsid w:val="00702702"/>
    <w:rsid w:val="00704B93"/>
    <w:rsid w:val="007121C5"/>
    <w:rsid w:val="007273E1"/>
    <w:rsid w:val="00742B11"/>
    <w:rsid w:val="00743AC1"/>
    <w:rsid w:val="00744460"/>
    <w:rsid w:val="00747363"/>
    <w:rsid w:val="0077490D"/>
    <w:rsid w:val="00775738"/>
    <w:rsid w:val="00782484"/>
    <w:rsid w:val="00792A8B"/>
    <w:rsid w:val="00795E53"/>
    <w:rsid w:val="00796D1B"/>
    <w:rsid w:val="007A4933"/>
    <w:rsid w:val="007A75F5"/>
    <w:rsid w:val="007B4FE0"/>
    <w:rsid w:val="007C2E61"/>
    <w:rsid w:val="007C4E69"/>
    <w:rsid w:val="007D1D24"/>
    <w:rsid w:val="007E4E05"/>
    <w:rsid w:val="007F335E"/>
    <w:rsid w:val="0080490E"/>
    <w:rsid w:val="0080577A"/>
    <w:rsid w:val="00817B3B"/>
    <w:rsid w:val="00826FCA"/>
    <w:rsid w:val="00831D61"/>
    <w:rsid w:val="00846A94"/>
    <w:rsid w:val="008573BA"/>
    <w:rsid w:val="008647FE"/>
    <w:rsid w:val="00864FD0"/>
    <w:rsid w:val="00871B4E"/>
    <w:rsid w:val="00880E64"/>
    <w:rsid w:val="0089788C"/>
    <w:rsid w:val="00897F85"/>
    <w:rsid w:val="008C4EB6"/>
    <w:rsid w:val="008D0531"/>
    <w:rsid w:val="008D5C93"/>
    <w:rsid w:val="008E45AE"/>
    <w:rsid w:val="008F41ED"/>
    <w:rsid w:val="00900BF6"/>
    <w:rsid w:val="0091635A"/>
    <w:rsid w:val="00917BC9"/>
    <w:rsid w:val="00927462"/>
    <w:rsid w:val="009354CF"/>
    <w:rsid w:val="009358D0"/>
    <w:rsid w:val="00946DEF"/>
    <w:rsid w:val="00947E8C"/>
    <w:rsid w:val="009572C0"/>
    <w:rsid w:val="0096058A"/>
    <w:rsid w:val="009616AB"/>
    <w:rsid w:val="00962C7E"/>
    <w:rsid w:val="009656E6"/>
    <w:rsid w:val="00971D35"/>
    <w:rsid w:val="009775B8"/>
    <w:rsid w:val="009A7BC5"/>
    <w:rsid w:val="009B0683"/>
    <w:rsid w:val="009B1532"/>
    <w:rsid w:val="009C7C22"/>
    <w:rsid w:val="009D0874"/>
    <w:rsid w:val="009D1259"/>
    <w:rsid w:val="009D1657"/>
    <w:rsid w:val="009E18FD"/>
    <w:rsid w:val="009E32D6"/>
    <w:rsid w:val="009E7D9D"/>
    <w:rsid w:val="009F4454"/>
    <w:rsid w:val="009F7ABD"/>
    <w:rsid w:val="00A11C32"/>
    <w:rsid w:val="00A159EC"/>
    <w:rsid w:val="00A15F6C"/>
    <w:rsid w:val="00A35BE5"/>
    <w:rsid w:val="00A44476"/>
    <w:rsid w:val="00A504E1"/>
    <w:rsid w:val="00A548F5"/>
    <w:rsid w:val="00A8629E"/>
    <w:rsid w:val="00A96F17"/>
    <w:rsid w:val="00AD1C50"/>
    <w:rsid w:val="00AE6852"/>
    <w:rsid w:val="00AF7C65"/>
    <w:rsid w:val="00B00A40"/>
    <w:rsid w:val="00B02D85"/>
    <w:rsid w:val="00B12007"/>
    <w:rsid w:val="00B14C17"/>
    <w:rsid w:val="00B2255B"/>
    <w:rsid w:val="00B234E7"/>
    <w:rsid w:val="00B264C9"/>
    <w:rsid w:val="00B31359"/>
    <w:rsid w:val="00B71056"/>
    <w:rsid w:val="00BA4F4D"/>
    <w:rsid w:val="00BA6E32"/>
    <w:rsid w:val="00BB6008"/>
    <w:rsid w:val="00BC52DE"/>
    <w:rsid w:val="00BD1534"/>
    <w:rsid w:val="00BE76D4"/>
    <w:rsid w:val="00BF5854"/>
    <w:rsid w:val="00BF72DD"/>
    <w:rsid w:val="00C10597"/>
    <w:rsid w:val="00C15147"/>
    <w:rsid w:val="00C2202A"/>
    <w:rsid w:val="00C2590C"/>
    <w:rsid w:val="00C26058"/>
    <w:rsid w:val="00C268CF"/>
    <w:rsid w:val="00C30A4C"/>
    <w:rsid w:val="00C30D72"/>
    <w:rsid w:val="00C41853"/>
    <w:rsid w:val="00C4410E"/>
    <w:rsid w:val="00C6472F"/>
    <w:rsid w:val="00C757C8"/>
    <w:rsid w:val="00C863D5"/>
    <w:rsid w:val="00C87099"/>
    <w:rsid w:val="00C974FE"/>
    <w:rsid w:val="00CA6052"/>
    <w:rsid w:val="00CC180F"/>
    <w:rsid w:val="00CE1CC4"/>
    <w:rsid w:val="00CE5588"/>
    <w:rsid w:val="00CE6824"/>
    <w:rsid w:val="00CF43FC"/>
    <w:rsid w:val="00D04DF4"/>
    <w:rsid w:val="00D123E4"/>
    <w:rsid w:val="00D146AA"/>
    <w:rsid w:val="00D20572"/>
    <w:rsid w:val="00D43398"/>
    <w:rsid w:val="00D45253"/>
    <w:rsid w:val="00D55480"/>
    <w:rsid w:val="00D7767C"/>
    <w:rsid w:val="00D77DE0"/>
    <w:rsid w:val="00D856FB"/>
    <w:rsid w:val="00D85FDF"/>
    <w:rsid w:val="00D90125"/>
    <w:rsid w:val="00DA1431"/>
    <w:rsid w:val="00DA422C"/>
    <w:rsid w:val="00DB1518"/>
    <w:rsid w:val="00DB3FD7"/>
    <w:rsid w:val="00DC3618"/>
    <w:rsid w:val="00DF35DD"/>
    <w:rsid w:val="00E019E1"/>
    <w:rsid w:val="00E05D3A"/>
    <w:rsid w:val="00E11D0E"/>
    <w:rsid w:val="00E22A5D"/>
    <w:rsid w:val="00E22FE8"/>
    <w:rsid w:val="00E25550"/>
    <w:rsid w:val="00E35A83"/>
    <w:rsid w:val="00E433BC"/>
    <w:rsid w:val="00E4540B"/>
    <w:rsid w:val="00E5739C"/>
    <w:rsid w:val="00E812FD"/>
    <w:rsid w:val="00E9482C"/>
    <w:rsid w:val="00EA6B66"/>
    <w:rsid w:val="00EB2179"/>
    <w:rsid w:val="00EB33FC"/>
    <w:rsid w:val="00EB7341"/>
    <w:rsid w:val="00EF12AE"/>
    <w:rsid w:val="00EF69CB"/>
    <w:rsid w:val="00F11D95"/>
    <w:rsid w:val="00F30BF5"/>
    <w:rsid w:val="00F313AF"/>
    <w:rsid w:val="00F3721E"/>
    <w:rsid w:val="00F43CEF"/>
    <w:rsid w:val="00F45907"/>
    <w:rsid w:val="00F54E57"/>
    <w:rsid w:val="00F66F2D"/>
    <w:rsid w:val="00F73329"/>
    <w:rsid w:val="00F751C5"/>
    <w:rsid w:val="00F84516"/>
    <w:rsid w:val="00F97142"/>
    <w:rsid w:val="00FA29EC"/>
    <w:rsid w:val="00FA433F"/>
    <w:rsid w:val="00FA59AF"/>
    <w:rsid w:val="00FB0059"/>
    <w:rsid w:val="00FB7A99"/>
    <w:rsid w:val="00FC01DE"/>
    <w:rsid w:val="00FC10EF"/>
    <w:rsid w:val="00FE0E05"/>
    <w:rsid w:val="00FE3726"/>
    <w:rsid w:val="00FE4160"/>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2043551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zp.gov.pl/aktualnosaci/komunikacjaelektroniczna-w-dobie-zagrozenia-epidemiologicznego" TargetMode="External"/><Relationship Id="rId5" Type="http://schemas.openxmlformats.org/officeDocument/2006/relationships/webSettings" Target="webSettings.xml"/><Relationship Id="rId15" Type="http://schemas.openxmlformats.org/officeDocument/2006/relationships/hyperlink" Target="mailto:iod@szpitalzawiercie.pl" TargetMode="Externa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mailto:zampub@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3864</TotalTime>
  <Pages>1</Pages>
  <Words>8022</Words>
  <Characters>48133</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56043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141</cp:revision>
  <cp:lastPrinted>2020-07-03T06:54:00Z</cp:lastPrinted>
  <dcterms:created xsi:type="dcterms:W3CDTF">2019-12-05T13:53:00Z</dcterms:created>
  <dcterms:modified xsi:type="dcterms:W3CDTF">2020-07-03T11:37:00Z</dcterms:modified>
</cp:coreProperties>
</file>