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FB1871" w:rsidRDefault="00FB1871" w:rsidP="00FB1871">
      <w:pPr>
        <w:spacing w:line="276" w:lineRule="auto"/>
        <w:ind w:right="4"/>
        <w:jc w:val="center"/>
        <w:rPr>
          <w:rFonts w:ascii="Arial" w:eastAsia="Arial" w:hAnsi="Arial"/>
          <w:b/>
          <w:sz w:val="32"/>
          <w:szCs w:val="20"/>
          <w:lang w:eastAsia="pl-PL"/>
        </w:rPr>
      </w:pPr>
      <w:r>
        <w:rPr>
          <w:rFonts w:ascii="Arial" w:eastAsia="Arial" w:hAnsi="Arial"/>
          <w:b/>
          <w:sz w:val="32"/>
          <w:szCs w:val="20"/>
          <w:lang w:eastAsia="pl-PL"/>
        </w:rPr>
        <w:t xml:space="preserve">Dostawa </w:t>
      </w:r>
      <w:r w:rsidR="005100D7">
        <w:rPr>
          <w:rFonts w:ascii="Arial" w:eastAsia="Arial" w:hAnsi="Arial"/>
          <w:b/>
          <w:sz w:val="32"/>
          <w:szCs w:val="20"/>
          <w:lang w:eastAsia="pl-PL"/>
        </w:rPr>
        <w:t>sprzętu medycznego</w:t>
      </w:r>
      <w:r>
        <w:rPr>
          <w:rFonts w:ascii="Arial" w:eastAsia="Arial" w:hAnsi="Arial"/>
          <w:b/>
          <w:sz w:val="32"/>
          <w:szCs w:val="20"/>
          <w:lang w:eastAsia="pl-PL"/>
        </w:rPr>
        <w:t xml:space="preserve"> – 3 pakiety</w:t>
      </w:r>
    </w:p>
    <w:p w:rsidR="00FB1871" w:rsidRDefault="00FB1871" w:rsidP="00FB1871">
      <w:pPr>
        <w:spacing w:line="276" w:lineRule="auto"/>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5100D7" w:rsidP="00FB1871">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DZP/PN/6</w:t>
      </w:r>
      <w:r w:rsidR="00FB1871">
        <w:rPr>
          <w:rFonts w:ascii="Arial" w:eastAsia="Arial" w:hAnsi="Arial"/>
          <w:sz w:val="28"/>
          <w:szCs w:val="20"/>
          <w:u w:val="single"/>
          <w:lang w:eastAsia="pl-PL"/>
        </w:rPr>
        <w:t>1/2021</w:t>
      </w:r>
    </w:p>
    <w:p w:rsidR="00FB1871" w:rsidRDefault="00FB1871" w:rsidP="00FB1871">
      <w:pPr>
        <w:spacing w:line="276" w:lineRule="auto"/>
        <w:rPr>
          <w:rFonts w:ascii="Times New Roman" w:eastAsia="Times New Roman" w:hAnsi="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ind w:right="-255"/>
        <w:jc w:val="center"/>
        <w:rPr>
          <w:rFonts w:ascii="Arial" w:eastAsia="Arial" w:hAnsi="Arial"/>
          <w:b/>
          <w:szCs w:val="20"/>
          <w:u w:val="single"/>
          <w:lang w:eastAsia="pl-PL"/>
        </w:rPr>
      </w:pPr>
    </w:p>
    <w:p w:rsidR="00FB1871" w:rsidRDefault="00FB1871" w:rsidP="00FB1871">
      <w:pPr>
        <w:spacing w:line="276" w:lineRule="auto"/>
        <w:ind w:right="-255"/>
        <w:jc w:val="center"/>
        <w:rPr>
          <w:rFonts w:ascii="Arial" w:eastAsia="Arial" w:hAnsi="Arial"/>
          <w:b/>
          <w:szCs w:val="20"/>
          <w:u w:val="single"/>
          <w:lang w:eastAsia="pl-PL"/>
        </w:rPr>
      </w:pPr>
    </w:p>
    <w:p w:rsidR="00FB1871" w:rsidRDefault="00FB1871" w:rsidP="00FB1871">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8F33FF">
        <w:rPr>
          <w:rFonts w:ascii="Arial" w:eastAsia="Arial" w:hAnsi="Arial"/>
          <w:szCs w:val="20"/>
          <w:lang w:eastAsia="pl-PL"/>
        </w:rPr>
        <w:t>24</w:t>
      </w:r>
      <w:r>
        <w:rPr>
          <w:rFonts w:ascii="Arial" w:eastAsia="Arial" w:hAnsi="Arial"/>
          <w:szCs w:val="20"/>
          <w:lang w:eastAsia="pl-PL"/>
        </w:rPr>
        <w:t>.09.2021 r.</w:t>
      </w:r>
    </w:p>
    <w:p w:rsidR="00D151AF" w:rsidRDefault="00D151AF" w:rsidP="00FB1871">
      <w:pPr>
        <w:spacing w:line="276" w:lineRule="auto"/>
        <w:ind w:right="-255"/>
        <w:jc w:val="center"/>
        <w:rPr>
          <w:rFonts w:ascii="Arial" w:eastAsia="Arial" w:hAnsi="Arial"/>
          <w:szCs w:val="20"/>
          <w:lang w:eastAsia="pl-PL"/>
        </w:rPr>
      </w:pP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B1871" w:rsidRDefault="005100D7" w:rsidP="005100D7">
      <w:pPr>
        <w:pStyle w:val="Akapitzlist"/>
        <w:spacing w:line="276" w:lineRule="auto"/>
        <w:ind w:left="0"/>
        <w:jc w:val="both"/>
        <w:rPr>
          <w:rFonts w:ascii="Verdana" w:hAnsi="Verdana"/>
          <w:b/>
          <w:sz w:val="22"/>
          <w:szCs w:val="22"/>
          <w:lang w:eastAsia="pl-PL"/>
        </w:rPr>
      </w:pPr>
      <w:r>
        <w:rPr>
          <w:rFonts w:ascii="Arial" w:hAnsi="Arial"/>
          <w:bCs/>
          <w:sz w:val="22"/>
          <w:szCs w:val="22"/>
        </w:rPr>
        <w:t>1.</w:t>
      </w:r>
      <w:r w:rsidR="00FB1871" w:rsidRPr="004512A2">
        <w:rPr>
          <w:rFonts w:ascii="Arial" w:hAnsi="Arial"/>
          <w:bCs/>
          <w:sz w:val="22"/>
          <w:szCs w:val="22"/>
        </w:rPr>
        <w:t>Przedmiotem niniejszego z</w:t>
      </w:r>
      <w:r w:rsidR="00FB1871" w:rsidRPr="004512A2">
        <w:rPr>
          <w:rFonts w:ascii="Arial" w:hAnsi="Arial"/>
          <w:sz w:val="22"/>
          <w:szCs w:val="22"/>
        </w:rPr>
        <w:t xml:space="preserve">amówienia jest </w:t>
      </w:r>
      <w:r>
        <w:rPr>
          <w:rFonts w:ascii="Arial" w:hAnsi="Arial"/>
          <w:kern w:val="1"/>
          <w:sz w:val="22"/>
          <w:szCs w:val="22"/>
          <w:lang w:eastAsia="hi-IN"/>
        </w:rPr>
        <w:t>D</w:t>
      </w:r>
      <w:r w:rsidR="00FB1871" w:rsidRPr="004512A2">
        <w:rPr>
          <w:rFonts w:ascii="Arial" w:hAnsi="Arial"/>
          <w:kern w:val="1"/>
          <w:sz w:val="22"/>
          <w:szCs w:val="22"/>
          <w:lang w:eastAsia="hi-IN"/>
        </w:rPr>
        <w:t xml:space="preserve">ostawa </w:t>
      </w:r>
      <w:r>
        <w:rPr>
          <w:rFonts w:ascii="Arial" w:hAnsi="Arial"/>
          <w:kern w:val="1"/>
          <w:sz w:val="22"/>
          <w:szCs w:val="22"/>
          <w:lang w:eastAsia="hi-IN"/>
        </w:rPr>
        <w:t>sprzętu medycznego</w:t>
      </w:r>
      <w:r w:rsidR="00FB1871" w:rsidRPr="004512A2">
        <w:rPr>
          <w:rFonts w:ascii="Arial" w:hAnsi="Arial"/>
          <w:kern w:val="1"/>
          <w:sz w:val="22"/>
          <w:szCs w:val="22"/>
          <w:lang w:eastAsia="hi-IN"/>
        </w:rPr>
        <w:t xml:space="preserve"> – 3 pakiety,</w:t>
      </w:r>
      <w:r w:rsidR="00FB1871" w:rsidRPr="004512A2">
        <w:rPr>
          <w:rFonts w:ascii="Arial" w:hAnsi="Arial"/>
          <w:sz w:val="22"/>
          <w:szCs w:val="22"/>
          <w:lang w:eastAsia="pl-PL"/>
        </w:rPr>
        <w:t xml:space="preserve"> zgodnie z załącznikiem nr 2 do SWZ – formularz asortymentowo-cenowy.</w:t>
      </w:r>
    </w:p>
    <w:p w:rsidR="005100D7" w:rsidRPr="004512A2" w:rsidRDefault="005100D7" w:rsidP="005100D7">
      <w:pPr>
        <w:pStyle w:val="Akapitzlist"/>
        <w:spacing w:line="276" w:lineRule="auto"/>
        <w:ind w:left="0"/>
        <w:jc w:val="both"/>
        <w:rPr>
          <w:rFonts w:ascii="Verdana" w:hAnsi="Verdana"/>
          <w:b/>
          <w:sz w:val="22"/>
          <w:szCs w:val="22"/>
          <w:lang w:eastAsia="pl-PL"/>
        </w:rPr>
      </w:pPr>
    </w:p>
    <w:p w:rsidR="00FB1871" w:rsidRPr="005100D7" w:rsidRDefault="00FB1871" w:rsidP="005100D7">
      <w:pPr>
        <w:jc w:val="both"/>
        <w:rPr>
          <w:rFonts w:ascii="Arial" w:eastAsia="Times New Roman" w:hAnsi="Arial"/>
          <w:bCs/>
          <w:color w:val="000000"/>
          <w:kern w:val="0"/>
          <w:sz w:val="22"/>
          <w:szCs w:val="22"/>
          <w:lang w:eastAsia="pl-PL" w:bidi="ar-SA"/>
        </w:rPr>
      </w:pPr>
      <w:r w:rsidRPr="005100D7">
        <w:rPr>
          <w:rFonts w:ascii="Arial" w:hAnsi="Arial"/>
          <w:sz w:val="22"/>
          <w:szCs w:val="22"/>
          <w:lang w:eastAsia="pl-PL"/>
        </w:rPr>
        <w:t xml:space="preserve">Pakiet 1 – </w:t>
      </w:r>
      <w:r w:rsidR="005100D7" w:rsidRPr="005100D7">
        <w:rPr>
          <w:rFonts w:ascii="Arial" w:eastAsia="Times New Roman" w:hAnsi="Arial"/>
          <w:bCs/>
          <w:color w:val="000000"/>
          <w:kern w:val="0"/>
          <w:sz w:val="22"/>
          <w:szCs w:val="22"/>
          <w:lang w:eastAsia="pl-PL" w:bidi="ar-SA"/>
        </w:rPr>
        <w:t>System napędów ortopedycznych</w:t>
      </w:r>
      <w:r w:rsidR="005100D7">
        <w:rPr>
          <w:rFonts w:ascii="Arial" w:eastAsia="Times New Roman" w:hAnsi="Arial"/>
          <w:bCs/>
          <w:color w:val="000000"/>
          <w:kern w:val="0"/>
          <w:sz w:val="22"/>
          <w:szCs w:val="22"/>
          <w:lang w:eastAsia="pl-PL" w:bidi="ar-SA"/>
        </w:rPr>
        <w:t>,</w:t>
      </w:r>
    </w:p>
    <w:p w:rsidR="00FB1871" w:rsidRPr="005100D7" w:rsidRDefault="00FB1871" w:rsidP="005100D7">
      <w:pPr>
        <w:jc w:val="both"/>
        <w:rPr>
          <w:rFonts w:ascii="Arial" w:eastAsia="Times New Roman" w:hAnsi="Arial"/>
          <w:bCs/>
          <w:color w:val="000000"/>
          <w:kern w:val="0"/>
          <w:sz w:val="22"/>
          <w:szCs w:val="22"/>
          <w:lang w:eastAsia="pl-PL" w:bidi="ar-SA"/>
        </w:rPr>
      </w:pPr>
      <w:r w:rsidRPr="005100D7">
        <w:rPr>
          <w:rFonts w:ascii="Arial" w:hAnsi="Arial"/>
          <w:sz w:val="22"/>
          <w:szCs w:val="22"/>
          <w:lang w:eastAsia="pl-PL"/>
        </w:rPr>
        <w:t xml:space="preserve">Pakiet 2 – </w:t>
      </w:r>
      <w:proofErr w:type="spellStart"/>
      <w:r w:rsidR="005100D7" w:rsidRPr="005100D7">
        <w:rPr>
          <w:rFonts w:ascii="Arial" w:eastAsia="Times New Roman" w:hAnsi="Arial"/>
          <w:bCs/>
          <w:color w:val="000000"/>
          <w:kern w:val="0"/>
          <w:sz w:val="22"/>
          <w:szCs w:val="22"/>
          <w:lang w:eastAsia="pl-PL" w:bidi="ar-SA"/>
        </w:rPr>
        <w:t>Dioptromierz</w:t>
      </w:r>
      <w:proofErr w:type="spellEnd"/>
      <w:r w:rsidR="005100D7">
        <w:rPr>
          <w:rFonts w:ascii="Arial" w:eastAsia="Times New Roman" w:hAnsi="Arial"/>
          <w:bCs/>
          <w:color w:val="000000"/>
          <w:kern w:val="0"/>
          <w:sz w:val="22"/>
          <w:szCs w:val="22"/>
          <w:lang w:eastAsia="pl-PL" w:bidi="ar-SA"/>
        </w:rPr>
        <w:t>,</w:t>
      </w:r>
      <w:r w:rsidR="005100D7" w:rsidRPr="005100D7">
        <w:rPr>
          <w:rFonts w:ascii="Arial" w:eastAsia="Times New Roman" w:hAnsi="Arial"/>
          <w:bCs/>
          <w:color w:val="000000"/>
          <w:kern w:val="0"/>
          <w:sz w:val="22"/>
          <w:szCs w:val="22"/>
          <w:lang w:eastAsia="pl-PL" w:bidi="ar-SA"/>
        </w:rPr>
        <w:t xml:space="preserve"> </w:t>
      </w:r>
    </w:p>
    <w:p w:rsidR="00FB1871" w:rsidRPr="00D151AF" w:rsidRDefault="0035450D" w:rsidP="005100D7">
      <w:pPr>
        <w:spacing w:line="276" w:lineRule="auto"/>
        <w:jc w:val="both"/>
        <w:rPr>
          <w:rFonts w:ascii="Arial" w:hAnsi="Arial"/>
          <w:sz w:val="22"/>
          <w:szCs w:val="22"/>
        </w:rPr>
      </w:pPr>
      <w:r>
        <w:rPr>
          <w:rFonts w:ascii="Arial" w:hAnsi="Arial"/>
          <w:sz w:val="22"/>
          <w:szCs w:val="22"/>
          <w:lang w:eastAsia="pl-PL"/>
        </w:rPr>
        <w:t>Pakiet</w:t>
      </w:r>
      <w:r w:rsidR="00FB1871" w:rsidRPr="005100D7">
        <w:rPr>
          <w:rFonts w:ascii="Arial" w:hAnsi="Arial"/>
          <w:sz w:val="22"/>
          <w:szCs w:val="22"/>
          <w:lang w:eastAsia="pl-PL"/>
        </w:rPr>
        <w:t xml:space="preserve"> 3 – </w:t>
      </w:r>
      <w:r w:rsidR="00D151AF" w:rsidRPr="00D151AF">
        <w:rPr>
          <w:rFonts w:ascii="Arial" w:hAnsi="Arial"/>
          <w:bCs/>
          <w:color w:val="000000"/>
          <w:kern w:val="0"/>
          <w:sz w:val="22"/>
          <w:szCs w:val="22"/>
          <w:lang w:eastAsia="pl-PL" w:bidi="ar-SA"/>
        </w:rPr>
        <w:t>Soczewka diagnostyczno-laserowa</w:t>
      </w:r>
      <w:r w:rsidR="00D151AF">
        <w:rPr>
          <w:rFonts w:ascii="Arial" w:hAnsi="Arial"/>
          <w:bCs/>
          <w:color w:val="000000"/>
          <w:kern w:val="0"/>
          <w:sz w:val="22"/>
          <w:szCs w:val="22"/>
          <w:lang w:eastAsia="pl-PL" w:bidi="ar-SA"/>
        </w:rPr>
        <w:t xml:space="preserve"> </w:t>
      </w:r>
      <w:r w:rsidR="00D151AF" w:rsidRPr="00D151AF">
        <w:rPr>
          <w:rFonts w:ascii="Arial" w:hAnsi="Arial"/>
          <w:bCs/>
          <w:color w:val="000000"/>
          <w:kern w:val="0"/>
          <w:sz w:val="22"/>
          <w:szCs w:val="22"/>
          <w:lang w:eastAsia="pl-PL" w:bidi="ar-SA"/>
        </w:rPr>
        <w:t>(do diagnostyki części pośredniej i obwodu dna oka oraz do terapii laserowej)</w:t>
      </w:r>
      <w:r w:rsidR="005100D7" w:rsidRPr="00D151AF">
        <w:rPr>
          <w:rFonts w:ascii="Arial" w:hAnsi="Arial"/>
          <w:bCs/>
          <w:color w:val="000000"/>
          <w:kern w:val="0"/>
          <w:sz w:val="22"/>
          <w:szCs w:val="22"/>
          <w:lang w:eastAsia="pl-PL" w:bidi="ar-SA"/>
        </w:rPr>
        <w:t>.</w:t>
      </w:r>
    </w:p>
    <w:p w:rsidR="00FB1871" w:rsidRPr="004512A2" w:rsidRDefault="00FB1871" w:rsidP="005100D7">
      <w:pPr>
        <w:pStyle w:val="Akapitzlist"/>
        <w:spacing w:line="276" w:lineRule="auto"/>
        <w:ind w:left="0" w:firstLine="351"/>
        <w:jc w:val="both"/>
        <w:rPr>
          <w:rFonts w:ascii="Arial" w:hAnsi="Arial" w:cs="Arial"/>
          <w:sz w:val="22"/>
          <w:szCs w:val="22"/>
        </w:rPr>
      </w:pPr>
    </w:p>
    <w:p w:rsidR="00FB1871" w:rsidRPr="005100D7" w:rsidRDefault="005100D7" w:rsidP="005100D7">
      <w:pPr>
        <w:pStyle w:val="Akapitzlist"/>
        <w:spacing w:line="276" w:lineRule="auto"/>
        <w:ind w:left="0"/>
        <w:jc w:val="both"/>
        <w:rPr>
          <w:rFonts w:ascii="Arial" w:hAnsi="Arial"/>
          <w:sz w:val="22"/>
          <w:szCs w:val="22"/>
        </w:rPr>
      </w:pPr>
      <w:r>
        <w:rPr>
          <w:rFonts w:ascii="Arial" w:hAnsi="Arial"/>
          <w:sz w:val="22"/>
          <w:szCs w:val="22"/>
        </w:rPr>
        <w:t>2.</w:t>
      </w:r>
      <w:r w:rsidR="00FB1871" w:rsidRPr="005100D7">
        <w:rPr>
          <w:rFonts w:ascii="Arial" w:hAnsi="Arial"/>
          <w:sz w:val="22"/>
          <w:szCs w:val="22"/>
        </w:rPr>
        <w:t xml:space="preserve">Kod zgodny ze Wspólnym Słownikiem Zamówień (CPV): </w:t>
      </w:r>
    </w:p>
    <w:p w:rsidR="005100D7" w:rsidRPr="005100D7" w:rsidRDefault="005100D7" w:rsidP="005100D7">
      <w:pPr>
        <w:pStyle w:val="Akapitzlist"/>
        <w:spacing w:line="276" w:lineRule="auto"/>
        <w:ind w:left="0"/>
        <w:jc w:val="both"/>
        <w:rPr>
          <w:rFonts w:ascii="Arial" w:hAnsi="Arial"/>
          <w:sz w:val="22"/>
          <w:szCs w:val="22"/>
        </w:rPr>
      </w:pPr>
    </w:p>
    <w:p w:rsidR="005100D7" w:rsidRPr="005100D7" w:rsidRDefault="005100D7" w:rsidP="005100D7">
      <w:pPr>
        <w:pStyle w:val="Standard"/>
        <w:spacing w:after="0"/>
        <w:jc w:val="both"/>
        <w:rPr>
          <w:rFonts w:ascii="Arial" w:hAnsi="Arial"/>
        </w:rPr>
      </w:pPr>
      <w:r w:rsidRPr="005100D7">
        <w:rPr>
          <w:rFonts w:ascii="Arial" w:hAnsi="Arial"/>
        </w:rPr>
        <w:t>- 33100000-1 – Urządzenia medyczne,</w:t>
      </w:r>
    </w:p>
    <w:p w:rsidR="005100D7" w:rsidRPr="005100D7" w:rsidRDefault="005100D7" w:rsidP="005100D7">
      <w:pPr>
        <w:pStyle w:val="Akapitzlist"/>
        <w:ind w:left="0"/>
        <w:rPr>
          <w:rFonts w:ascii="Arial" w:hAnsi="Arial" w:cs="Arial"/>
          <w:sz w:val="22"/>
          <w:szCs w:val="22"/>
        </w:rPr>
      </w:pPr>
      <w:r w:rsidRPr="005100D7">
        <w:rPr>
          <w:rFonts w:ascii="Arial" w:hAnsi="Arial" w:cs="Arial"/>
          <w:sz w:val="22"/>
          <w:szCs w:val="22"/>
        </w:rPr>
        <w:t>- 33162100-4 –Urządzenia używane na salach operacyjnych,</w:t>
      </w:r>
    </w:p>
    <w:p w:rsidR="005100D7" w:rsidRPr="005100D7" w:rsidRDefault="005100D7" w:rsidP="005100D7">
      <w:pPr>
        <w:pStyle w:val="Akapitzlist"/>
        <w:ind w:left="0"/>
        <w:rPr>
          <w:rFonts w:ascii="Arial" w:hAnsi="Arial" w:cs="Arial"/>
          <w:sz w:val="22"/>
          <w:szCs w:val="22"/>
        </w:rPr>
      </w:pPr>
      <w:r w:rsidRPr="005100D7">
        <w:rPr>
          <w:rFonts w:ascii="Arial" w:hAnsi="Arial" w:cs="Arial"/>
          <w:sz w:val="22"/>
          <w:szCs w:val="22"/>
        </w:rPr>
        <w:t>- 38500000-0 – Aparatura kontrolna i badawcza,</w:t>
      </w:r>
    </w:p>
    <w:p w:rsidR="005100D7" w:rsidRPr="005100D7" w:rsidRDefault="005100D7" w:rsidP="005100D7">
      <w:pPr>
        <w:pStyle w:val="Akapitzlist"/>
        <w:ind w:left="0"/>
        <w:rPr>
          <w:rFonts w:ascii="Arial" w:hAnsi="Arial" w:cs="Arial"/>
          <w:sz w:val="22"/>
          <w:szCs w:val="22"/>
        </w:rPr>
      </w:pPr>
      <w:r w:rsidRPr="005100D7">
        <w:rPr>
          <w:rFonts w:ascii="Arial" w:hAnsi="Arial" w:cs="Arial"/>
          <w:sz w:val="22"/>
          <w:szCs w:val="22"/>
        </w:rPr>
        <w:t>- 33731100 – 7 – Soczewki śródoczne.</w:t>
      </w:r>
    </w:p>
    <w:p w:rsidR="00FB1871" w:rsidRPr="004512A2" w:rsidRDefault="00FB1871" w:rsidP="005100D7">
      <w:pPr>
        <w:pStyle w:val="Akapitzlist"/>
        <w:spacing w:line="276" w:lineRule="auto"/>
        <w:ind w:left="0"/>
        <w:jc w:val="both"/>
        <w:outlineLvl w:val="1"/>
        <w:rPr>
          <w:rFonts w:ascii="Arial" w:hAnsi="Arial" w:cs="Arial"/>
          <w:bCs/>
          <w:iCs/>
          <w:sz w:val="22"/>
          <w:szCs w:val="22"/>
        </w:rPr>
      </w:pPr>
    </w:p>
    <w:p w:rsidR="00FB1871" w:rsidRPr="004512A2" w:rsidRDefault="00FB1871" w:rsidP="005100D7">
      <w:pPr>
        <w:spacing w:line="276" w:lineRule="auto"/>
        <w:jc w:val="both"/>
        <w:rPr>
          <w:rFonts w:ascii="Arial" w:hAnsi="Arial"/>
          <w:sz w:val="22"/>
          <w:szCs w:val="22"/>
        </w:rPr>
      </w:pPr>
      <w:r w:rsidRPr="004512A2">
        <w:rPr>
          <w:rFonts w:ascii="Arial" w:hAnsi="Arial"/>
          <w:sz w:val="22"/>
          <w:szCs w:val="22"/>
        </w:rPr>
        <w:t>3.Zamawiający nie przewiduje możliwości zawarcia umowy ramowej.</w:t>
      </w:r>
    </w:p>
    <w:p w:rsidR="00FB1871" w:rsidRPr="004512A2" w:rsidRDefault="00FB1871" w:rsidP="004512A2">
      <w:pPr>
        <w:pStyle w:val="Standard"/>
        <w:spacing w:after="0"/>
        <w:jc w:val="both"/>
        <w:rPr>
          <w:rFonts w:ascii="Arial" w:hAnsi="Arial"/>
        </w:rPr>
      </w:pPr>
      <w:r w:rsidRPr="004512A2">
        <w:rPr>
          <w:rFonts w:ascii="Arial" w:hAnsi="Arial"/>
        </w:rPr>
        <w:t>4.Zamawiający nie dopuszcza składania ofert wariantowych.</w:t>
      </w:r>
    </w:p>
    <w:p w:rsidR="00FB1871" w:rsidRPr="004512A2" w:rsidRDefault="00FB1871" w:rsidP="004512A2">
      <w:pPr>
        <w:pStyle w:val="Standard"/>
        <w:spacing w:after="0"/>
        <w:jc w:val="both"/>
        <w:rPr>
          <w:rFonts w:ascii="Arial" w:hAnsi="Arial"/>
        </w:rPr>
      </w:pPr>
      <w:r w:rsidRPr="004512A2">
        <w:rPr>
          <w:rFonts w:ascii="Arial" w:hAnsi="Arial"/>
        </w:rPr>
        <w:t>5.Zamawiający nie przewiduje przeprowadzenia aukcji elektronicznej.</w:t>
      </w:r>
    </w:p>
    <w:p w:rsidR="00FB1871" w:rsidRPr="004512A2" w:rsidRDefault="00FB1871" w:rsidP="004512A2">
      <w:pPr>
        <w:pStyle w:val="Standard"/>
        <w:spacing w:after="0"/>
        <w:jc w:val="both"/>
        <w:rPr>
          <w:rFonts w:ascii="Arial" w:hAnsi="Arial"/>
        </w:rPr>
      </w:pPr>
      <w:r w:rsidRPr="004512A2">
        <w:rPr>
          <w:rFonts w:ascii="Arial" w:hAnsi="Arial"/>
        </w:rPr>
        <w:t>6.Zamawiający nie przewiduje odbycia przez Wykonawcę wizji lokalnej i złożenie oferty nie wymaga odbycia przez Wykonawcę wizji lokalnej.</w:t>
      </w:r>
    </w:p>
    <w:p w:rsidR="00FB1871" w:rsidRPr="004512A2" w:rsidRDefault="00FB1871" w:rsidP="004512A2">
      <w:pPr>
        <w:pStyle w:val="Standard"/>
        <w:spacing w:after="0"/>
        <w:jc w:val="both"/>
        <w:rPr>
          <w:rFonts w:ascii="Arial" w:hAnsi="Arial"/>
        </w:rPr>
      </w:pPr>
      <w:r w:rsidRPr="004512A2">
        <w:rPr>
          <w:rFonts w:ascii="Arial" w:hAnsi="Arial"/>
        </w:rPr>
        <w:t>7.Zamawiający żąda wskazania w ofercie części zamówienia, których wykonanie Wykonawca zamierza powierzyć podwykonawcy i podania przez Wykonawcę nazw (firm) podwykonawców, jeżeli są znani na etapie składania oferty.</w:t>
      </w:r>
    </w:p>
    <w:p w:rsidR="00FB1871" w:rsidRPr="004512A2" w:rsidRDefault="00FB1871" w:rsidP="004512A2">
      <w:pPr>
        <w:pStyle w:val="Standard"/>
        <w:spacing w:after="0"/>
        <w:jc w:val="both"/>
        <w:rPr>
          <w:rFonts w:ascii="Arial" w:hAnsi="Arial"/>
        </w:rPr>
      </w:pPr>
      <w:r w:rsidRPr="004512A2">
        <w:rPr>
          <w:rFonts w:ascii="Arial" w:hAnsi="Arial"/>
        </w:rPr>
        <w:t>8.Zamawiający nie przewiduje zwrotu kosztów udziału w postępowaniu.</w:t>
      </w:r>
    </w:p>
    <w:p w:rsidR="00FB1871" w:rsidRPr="004512A2" w:rsidRDefault="00FB1871" w:rsidP="004512A2">
      <w:pPr>
        <w:pStyle w:val="Standard"/>
        <w:spacing w:after="0"/>
        <w:jc w:val="both"/>
        <w:rPr>
          <w:rFonts w:ascii="Arial" w:hAnsi="Arial"/>
        </w:rPr>
      </w:pPr>
      <w:r w:rsidRPr="004512A2">
        <w:rPr>
          <w:rFonts w:ascii="Arial" w:hAnsi="Arial"/>
        </w:rPr>
        <w:t>9.Zamawiający nie zastrzega żadnego elementu zamówienia do osobistej realizacji przez Wykonawcę.</w:t>
      </w:r>
    </w:p>
    <w:p w:rsidR="00FB1871" w:rsidRPr="004512A2" w:rsidRDefault="00FB1871" w:rsidP="004512A2">
      <w:pPr>
        <w:pStyle w:val="Standard"/>
        <w:spacing w:after="0"/>
        <w:jc w:val="both"/>
        <w:rPr>
          <w:rFonts w:ascii="Arial" w:hAnsi="Arial"/>
        </w:rPr>
      </w:pPr>
      <w:r w:rsidRPr="004512A2">
        <w:rPr>
          <w:rFonts w:ascii="Arial" w:hAnsi="Arial"/>
        </w:rPr>
        <w:t xml:space="preserve">10.W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4512A2">
        <w:rPr>
          <w:rFonts w:ascii="Arial" w:hAnsi="Arial"/>
        </w:rPr>
        <w:t>Pzp</w:t>
      </w:r>
      <w:proofErr w:type="spellEnd"/>
      <w:r w:rsidRPr="004512A2">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t>
      </w:r>
      <w:r w:rsidRPr="004512A2">
        <w:rPr>
          <w:rFonts w:ascii="Arial" w:hAnsi="Arial"/>
        </w:rPr>
        <w:lastRenderedPageBreak/>
        <w:t>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FB1871" w:rsidRPr="004512A2" w:rsidRDefault="00FB1871" w:rsidP="004512A2">
      <w:pPr>
        <w:pStyle w:val="Standard"/>
        <w:spacing w:after="0"/>
        <w:jc w:val="both"/>
        <w:rPr>
          <w:rFonts w:ascii="Arial" w:hAnsi="Arial"/>
        </w:rPr>
      </w:pPr>
      <w:r w:rsidRPr="004512A2">
        <w:rPr>
          <w:rFonts w:ascii="Arial" w:hAnsi="Arial"/>
        </w:rPr>
        <w:t xml:space="preserve">11.W przypadku odniesienia w załączonej do SWZ dokumentacji do norm, ocen technicznych, aprobat, specyfikacji technicznych i systemów referencji technicznych Zamawiający dopuszcza  - zgodnie z art. 101 ust. 4 </w:t>
      </w:r>
      <w:proofErr w:type="spellStart"/>
      <w:r w:rsidRPr="004512A2">
        <w:rPr>
          <w:rFonts w:ascii="Arial" w:hAnsi="Arial"/>
        </w:rPr>
        <w:t>Pzp</w:t>
      </w:r>
      <w:proofErr w:type="spellEnd"/>
      <w:r w:rsidRPr="004512A2">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5100D7" w:rsidRPr="005100D7" w:rsidRDefault="005100D7" w:rsidP="008B4F0E">
      <w:pPr>
        <w:tabs>
          <w:tab w:val="left" w:pos="420"/>
        </w:tabs>
        <w:spacing w:line="0" w:lineRule="atLeast"/>
        <w:rPr>
          <w:rFonts w:ascii="Arial" w:hAnsi="Arial"/>
          <w:sz w:val="22"/>
          <w:szCs w:val="22"/>
          <w:lang w:eastAsia="pl-PL"/>
        </w:rPr>
      </w:pPr>
      <w:r w:rsidRPr="005100D7">
        <w:rPr>
          <w:rFonts w:ascii="Arial" w:eastAsia="Arial" w:hAnsi="Arial"/>
          <w:sz w:val="22"/>
          <w:szCs w:val="22"/>
          <w:lang w:eastAsia="pl-PL"/>
        </w:rPr>
        <w:t>1.Zamówienie zostanie zrealizowane w terminie do 28 dni kalendarzowych (zgodnie z ofertą) od daty zawarcia umowy.</w:t>
      </w:r>
    </w:p>
    <w:p w:rsidR="005100D7" w:rsidRPr="005100D7" w:rsidRDefault="005100D7" w:rsidP="008B4F0E">
      <w:pPr>
        <w:tabs>
          <w:tab w:val="left" w:pos="420"/>
        </w:tabs>
        <w:spacing w:line="0" w:lineRule="atLeast"/>
        <w:jc w:val="both"/>
        <w:rPr>
          <w:rFonts w:ascii="Arial" w:hAnsi="Arial"/>
          <w:sz w:val="22"/>
          <w:szCs w:val="22"/>
          <w:lang w:eastAsia="pl-PL"/>
        </w:rPr>
      </w:pPr>
      <w:r w:rsidRPr="005100D7">
        <w:rPr>
          <w:rFonts w:ascii="Arial" w:eastAsia="Arial" w:hAnsi="Arial"/>
          <w:sz w:val="22"/>
          <w:szCs w:val="22"/>
          <w:lang w:eastAsia="pl-PL"/>
        </w:rPr>
        <w:t>2.Szczegółowe warunki realizacji zamówienia zostały określone w projektowanych postanowieniach umowy w sprawie zamówienia publicznego – załącznik nr 4 do SWZ.</w:t>
      </w:r>
    </w:p>
    <w:p w:rsidR="005100D7" w:rsidRPr="005100D7" w:rsidRDefault="005100D7" w:rsidP="005100D7">
      <w:pPr>
        <w:tabs>
          <w:tab w:val="left" w:pos="284"/>
        </w:tabs>
        <w:spacing w:line="276" w:lineRule="auto"/>
        <w:rPr>
          <w:rFonts w:ascii="Arial" w:eastAsia="Calibri" w:hAnsi="Arial"/>
          <w:sz w:val="22"/>
          <w:szCs w:val="22"/>
        </w:rPr>
      </w:pPr>
      <w:r w:rsidRPr="005100D7">
        <w:rPr>
          <w:rFonts w:ascii="Arial" w:eastAsia="Calibri" w:hAnsi="Arial"/>
          <w:sz w:val="22"/>
          <w:szCs w:val="22"/>
        </w:rPr>
        <w:t>3.Dokładny termin dostawy Wykonawca uzgodni z upoważnionym pracownikiem Zamawiającego drogą telefoniczną.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5100D7">
      <w:pPr>
        <w:pStyle w:val="Standard"/>
        <w:numPr>
          <w:ilvl w:val="0"/>
          <w:numId w:val="24"/>
        </w:numPr>
        <w:spacing w:after="0" w:line="240" w:lineRule="auto"/>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lastRenderedPageBreak/>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4512A2" w:rsidRDefault="0089174C" w:rsidP="004512A2">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4512A2" w:rsidRPr="004512A2" w:rsidRDefault="004512A2" w:rsidP="004512A2">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4512A2">
        <w:rPr>
          <w:rFonts w:ascii="Arial" w:eastAsia="Arial" w:hAnsi="Arial"/>
          <w:sz w:val="22"/>
          <w:szCs w:val="22"/>
          <w:lang w:eastAsia="pl-PL"/>
        </w:rPr>
        <w:t xml:space="preserve">O udzielenie zamówienia publicznego mogą ubiegać się Wykonawcy, którzy </w:t>
      </w:r>
      <w:r w:rsidRPr="004512A2">
        <w:rPr>
          <w:rFonts w:ascii="Arial" w:eastAsia="Arial" w:hAnsi="Arial"/>
          <w:b/>
          <w:sz w:val="22"/>
          <w:szCs w:val="22"/>
          <w:lang w:eastAsia="pl-PL"/>
        </w:rPr>
        <w:t>spełniają warunki udziału w postepowaniu</w:t>
      </w:r>
      <w:r w:rsidRPr="004512A2">
        <w:rPr>
          <w:rFonts w:ascii="Arial" w:eastAsia="Arial" w:hAnsi="Arial"/>
          <w:sz w:val="22"/>
          <w:szCs w:val="22"/>
          <w:lang w:eastAsia="pl-PL"/>
        </w:rPr>
        <w:t xml:space="preserve"> o których mowa w art. 112 ust. 2 pkt 1) – 4), dotyczące:</w:t>
      </w:r>
    </w:p>
    <w:p w:rsidR="004512A2" w:rsidRPr="004512A2" w:rsidRDefault="004512A2" w:rsidP="004512A2">
      <w:pPr>
        <w:pStyle w:val="Akapitzlist"/>
        <w:numPr>
          <w:ilvl w:val="0"/>
          <w:numId w:val="76"/>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do występowania w obrocie gospodarczym – Zamawiający nie stawia warunku w tym zakresie,</w:t>
      </w:r>
    </w:p>
    <w:p w:rsidR="004512A2" w:rsidRPr="004512A2" w:rsidRDefault="004512A2" w:rsidP="004512A2">
      <w:pPr>
        <w:pStyle w:val="Akapitzlist"/>
        <w:numPr>
          <w:ilvl w:val="0"/>
          <w:numId w:val="76"/>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uprawnień do prowadzenia określonej działalności gospodarczej lub zawodowej, o ile wynika to z odrębnych przepisów – Zamawiający nie stawia warunku w tym zakresie,</w:t>
      </w:r>
    </w:p>
    <w:p w:rsidR="004512A2" w:rsidRPr="004512A2" w:rsidRDefault="004512A2" w:rsidP="004512A2">
      <w:pPr>
        <w:pStyle w:val="Akapitzlist"/>
        <w:numPr>
          <w:ilvl w:val="0"/>
          <w:numId w:val="76"/>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sytuacji ekonomicznej lub finansowej - Zamawiający nie stawia warunku w tym zakresie,</w:t>
      </w:r>
    </w:p>
    <w:p w:rsidR="004512A2" w:rsidRPr="004512A2" w:rsidRDefault="004512A2" w:rsidP="004512A2">
      <w:pPr>
        <w:pStyle w:val="Akapitzlist"/>
        <w:numPr>
          <w:ilvl w:val="0"/>
          <w:numId w:val="76"/>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technicznej lub zawodowej - Zamawiający nie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w:t>
      </w:r>
      <w:r w:rsidR="005100D7">
        <w:rPr>
          <w:rFonts w:ascii="Arial" w:eastAsia="CIDFont+F6" w:hAnsi="Arial"/>
          <w:color w:val="000000"/>
          <w:sz w:val="22"/>
          <w:szCs w:val="22"/>
          <w:lang w:eastAsia="pl-PL"/>
        </w:rPr>
        <w:t>-cenowy – załącznik nr 2 do SWZ.</w:t>
      </w:r>
    </w:p>
    <w:p w:rsidR="00B94759" w:rsidRPr="00530E1B" w:rsidRDefault="00530E1B" w:rsidP="00530E1B">
      <w:pPr>
        <w:spacing w:line="276" w:lineRule="auto"/>
        <w:jc w:val="both"/>
        <w:rPr>
          <w:rFonts w:ascii="Arial" w:eastAsia="Times New Roman" w:hAnsi="Arial"/>
          <w:sz w:val="22"/>
          <w:szCs w:val="22"/>
        </w:rPr>
      </w:pPr>
      <w:r>
        <w:rPr>
          <w:rFonts w:ascii="Arial" w:eastAsia="Times New Roman" w:hAnsi="Arial"/>
          <w:sz w:val="22"/>
          <w:szCs w:val="22"/>
        </w:rPr>
        <w:t xml:space="preserve">2. </w:t>
      </w:r>
      <w:r w:rsidR="00B94759"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530E1B" w:rsidRDefault="00530E1B" w:rsidP="00530E1B">
      <w:p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 xml:space="preserve">3. </w:t>
      </w:r>
      <w:r w:rsidR="00B94759" w:rsidRPr="00530E1B">
        <w:rPr>
          <w:rFonts w:ascii="Arial" w:eastAsia="CIDFont+F6" w:hAnsi="Arial"/>
          <w:sz w:val="22"/>
          <w:szCs w:val="22"/>
          <w:lang w:eastAsia="pl-PL"/>
        </w:rPr>
        <w:t>Zamawiający może żądać od Wykonawców wyjaśnień dotyczących treści przedmiotowych środków dowodowych.</w:t>
      </w:r>
    </w:p>
    <w:p w:rsidR="00CE5A91" w:rsidRPr="00B94759" w:rsidRDefault="00CE5A91" w:rsidP="00530E1B">
      <w:pPr>
        <w:pStyle w:val="Akapitzlist"/>
        <w:numPr>
          <w:ilvl w:val="0"/>
          <w:numId w:val="2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lastRenderedPageBreak/>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00530E1B">
        <w:rPr>
          <w:rFonts w:ascii="Arial" w:eastAsia="CIDFont+F6" w:hAnsi="Arial"/>
          <w:sz w:val="22"/>
          <w:szCs w:val="22"/>
          <w:lang w:eastAsia="pl-PL"/>
        </w:rPr>
        <w:t xml:space="preserve"> – </w:t>
      </w:r>
      <w:r w:rsidR="00530E1B" w:rsidRPr="00530E1B">
        <w:rPr>
          <w:rFonts w:ascii="Arial" w:eastAsia="CIDFont+F6" w:hAnsi="Arial"/>
          <w:b/>
          <w:sz w:val="22"/>
          <w:szCs w:val="22"/>
          <w:lang w:eastAsia="pl-PL"/>
        </w:rPr>
        <w:t>Zamawiający nie wymaga</w:t>
      </w:r>
      <w:r w:rsidRPr="00530E1B">
        <w:rPr>
          <w:rFonts w:ascii="Arial" w:eastAsia="CIDFont+F6" w:hAnsi="Arial"/>
          <w:b/>
          <w:sz w:val="22"/>
          <w:szCs w:val="22"/>
          <w:lang w:eastAsia="pl-PL"/>
        </w:rPr>
        <w:t>.</w:t>
      </w:r>
    </w:p>
    <w:p w:rsidR="0089174C" w:rsidRPr="006C0AA7"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hAnsi="Arial" w:cs="Arial"/>
          <w:sz w:val="22"/>
          <w:szCs w:val="22"/>
        </w:rPr>
        <w:t xml:space="preserve">9. </w:t>
      </w:r>
      <w:r w:rsidR="0089174C" w:rsidRPr="00393912">
        <w:rPr>
          <w:rFonts w:ascii="Arial" w:hAnsi="Arial" w:cs="Arial"/>
          <w:sz w:val="22"/>
          <w:szCs w:val="22"/>
        </w:rPr>
        <w:t xml:space="preserve">Jeżeli wobec </w:t>
      </w:r>
      <w:r w:rsidR="0089174C">
        <w:rPr>
          <w:rFonts w:ascii="Arial" w:hAnsi="Arial" w:cs="Arial"/>
          <w:sz w:val="22"/>
          <w:szCs w:val="22"/>
        </w:rPr>
        <w:t>Wykonawcy</w:t>
      </w:r>
      <w:r w:rsidR="0089174C"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0089174C"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0089174C" w:rsidRPr="00393912">
        <w:rPr>
          <w:rFonts w:ascii="Arial" w:eastAsiaTheme="minorHAnsi" w:hAnsi="Arial" w:cs="Arial"/>
          <w:sz w:val="22"/>
          <w:szCs w:val="22"/>
        </w:rPr>
        <w:t xml:space="preserve">a następnie dokonuje kwalifikacji podmiotowej wykonawcy, którego oferta została najwyżej oceniona,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zakresie braku podstaw wykluczenia oraz spełniania warunków udziału w postępowaniu. </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10. </w:t>
      </w:r>
      <w:r w:rsidR="0089174C" w:rsidRPr="00393912">
        <w:rPr>
          <w:rFonts w:ascii="Arial" w:eastAsiaTheme="minorHAnsi" w:hAnsi="Arial" w:cs="Arial"/>
          <w:sz w:val="22"/>
          <w:szCs w:val="22"/>
        </w:rPr>
        <w:t xml:space="preserve">Zamawiający kontynuuje procedurę ponownego badania i oceny ofert, o której mowa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ust. </w:t>
      </w:r>
      <w:r>
        <w:rPr>
          <w:rFonts w:ascii="Arial" w:eastAsiaTheme="minorHAnsi" w:hAnsi="Arial" w:cs="Arial"/>
          <w:sz w:val="22"/>
          <w:szCs w:val="22"/>
        </w:rPr>
        <w:t>9</w:t>
      </w:r>
      <w:r w:rsidR="0089174C"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0089174C" w:rsidRPr="00393912">
        <w:rPr>
          <w:rFonts w:ascii="Arial" w:eastAsiaTheme="minorHAnsi" w:hAnsi="Arial" w:cs="Arial"/>
          <w:sz w:val="22"/>
          <w:szCs w:val="22"/>
        </w:rPr>
        <w:t>kwalifikacji podmiotowej wykonawcy, którego oferta została najwyżej oceniona,</w:t>
      </w:r>
      <w:r w:rsidR="0089174C">
        <w:rPr>
          <w:rFonts w:ascii="Arial" w:eastAsiaTheme="minorHAnsi" w:hAnsi="Arial" w:cs="Arial"/>
          <w:sz w:val="22"/>
          <w:szCs w:val="22"/>
        </w:rPr>
        <w:t xml:space="preserve"> w zakresie braku </w:t>
      </w:r>
      <w:r w:rsidR="00206734">
        <w:rPr>
          <w:rFonts w:ascii="Arial" w:eastAsiaTheme="minorHAnsi" w:hAnsi="Arial" w:cs="Arial"/>
          <w:sz w:val="22"/>
          <w:szCs w:val="22"/>
        </w:rPr>
        <w:br/>
      </w:r>
      <w:r w:rsidR="0089174C">
        <w:rPr>
          <w:rFonts w:ascii="Arial" w:eastAsiaTheme="minorHAnsi" w:hAnsi="Arial" w:cs="Arial"/>
          <w:sz w:val="22"/>
          <w:szCs w:val="22"/>
        </w:rPr>
        <w:t>podstaw wyklu</w:t>
      </w:r>
      <w:r w:rsidR="0089174C"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0089174C"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530E1B" w:rsidP="00EA3105">
      <w:pPr>
        <w:pStyle w:val="Standard"/>
        <w:spacing w:after="0"/>
        <w:ind w:left="425"/>
        <w:jc w:val="both"/>
        <w:rPr>
          <w:rFonts w:ascii="Arial" w:hAnsi="Arial"/>
        </w:rPr>
      </w:pPr>
      <w:r>
        <w:rPr>
          <w:rFonts w:ascii="Arial" w:hAnsi="Arial"/>
          <w:color w:val="000000"/>
          <w:kern w:val="0"/>
          <w:lang w:eastAsia="pl-PL"/>
        </w:rPr>
        <w:t>Grzegorz Bartos</w:t>
      </w:r>
      <w:r w:rsidR="0089174C" w:rsidRPr="00C820E1">
        <w:rPr>
          <w:rFonts w:ascii="Arial" w:hAnsi="Arial"/>
          <w:color w:val="000000"/>
          <w:kern w:val="0"/>
          <w:lang w:eastAsia="pl-PL"/>
        </w:rPr>
        <w:t xml:space="preserve">, tel. </w:t>
      </w:r>
      <w:r w:rsidR="0089174C"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lastRenderedPageBreak/>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8F33FF">
        <w:rPr>
          <w:rFonts w:ascii="Arial" w:eastAsia="CIDFont+F6" w:hAnsi="Arial"/>
          <w:b/>
          <w:sz w:val="22"/>
          <w:szCs w:val="22"/>
          <w:lang w:eastAsia="pl-PL"/>
        </w:rPr>
        <w:t>17.01</w:t>
      </w:r>
      <w:r w:rsidRPr="00212732">
        <w:rPr>
          <w:rFonts w:ascii="Arial" w:eastAsia="CIDFont+F6" w:hAnsi="Arial"/>
          <w:b/>
          <w:sz w:val="22"/>
          <w:szCs w:val="22"/>
          <w:lang w:eastAsia="pl-PL"/>
        </w:rPr>
        <w:t>.202</w:t>
      </w:r>
      <w:r w:rsidR="008F33FF">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lastRenderedPageBreak/>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xml:space="preserve">.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w:t>
      </w:r>
      <w:r w:rsidR="005100D7">
        <w:rPr>
          <w:rFonts w:ascii="Arial" w:eastAsia="CIDFont+F6" w:hAnsi="Arial"/>
          <w:color w:val="000000"/>
          <w:sz w:val="22"/>
          <w:szCs w:val="22"/>
          <w:lang w:eastAsia="pl-PL"/>
        </w:rPr>
        <w:t>-cenowy – załącznik nr 2 do SWZ.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lastRenderedPageBreak/>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lastRenderedPageBreak/>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8F33FF">
        <w:rPr>
          <w:rFonts w:ascii="Arial" w:eastAsia="Arial" w:hAnsi="Arial"/>
          <w:b/>
          <w:kern w:val="0"/>
          <w:sz w:val="22"/>
          <w:szCs w:val="20"/>
          <w:lang w:eastAsia="pl-PL" w:bidi="ar-SA"/>
        </w:rPr>
        <w:t>20.10</w:t>
      </w:r>
      <w:r w:rsidR="00AA205A">
        <w:rPr>
          <w:rFonts w:ascii="Arial" w:eastAsia="Arial" w:hAnsi="Arial"/>
          <w:b/>
          <w:kern w:val="0"/>
          <w:sz w:val="22"/>
          <w:szCs w:val="20"/>
          <w:lang w:eastAsia="pl-PL" w:bidi="ar-SA"/>
        </w:rPr>
        <w:t>.</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8F33FF">
        <w:rPr>
          <w:rFonts w:ascii="Arial" w:eastAsia="Arial" w:hAnsi="Arial"/>
          <w:b/>
          <w:sz w:val="22"/>
          <w:szCs w:val="20"/>
          <w:lang w:eastAsia="pl-PL"/>
        </w:rPr>
        <w:t>20.10</w:t>
      </w:r>
      <w:bookmarkStart w:id="0" w:name="_GoBack"/>
      <w:bookmarkEnd w:id="0"/>
      <w:r w:rsidR="00AA205A">
        <w:rPr>
          <w:rFonts w:ascii="Arial" w:eastAsia="Arial" w:hAnsi="Arial"/>
          <w:b/>
          <w:sz w:val="22"/>
          <w:szCs w:val="20"/>
          <w:lang w:eastAsia="pl-PL"/>
        </w:rPr>
        <w:t>.</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lastRenderedPageBreak/>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lastRenderedPageBreak/>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5100D7" w:rsidRPr="005100D7" w:rsidRDefault="005100D7" w:rsidP="005100D7">
      <w:pPr>
        <w:widowControl/>
        <w:numPr>
          <w:ilvl w:val="0"/>
          <w:numId w:val="26"/>
        </w:numPr>
        <w:tabs>
          <w:tab w:val="left" w:pos="420"/>
        </w:tabs>
        <w:suppressAutoHyphens w:val="0"/>
        <w:autoSpaceDN/>
        <w:spacing w:before="120"/>
        <w:textAlignment w:val="auto"/>
        <w:rPr>
          <w:rFonts w:ascii="Arial" w:eastAsia="Arial" w:hAnsi="Arial"/>
          <w:sz w:val="22"/>
          <w:szCs w:val="22"/>
          <w:lang w:eastAsia="pl-PL"/>
        </w:rPr>
      </w:pPr>
      <w:r w:rsidRPr="005100D7">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4631D5A1" wp14:editId="00DD6A3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5100D7">
        <w:rPr>
          <w:rFonts w:ascii="Arial" w:eastAsia="Arial" w:hAnsi="Arial"/>
          <w:sz w:val="22"/>
          <w:szCs w:val="22"/>
          <w:lang w:eastAsia="pl-PL"/>
        </w:rPr>
        <w:t>Przy wyborze oferty Zamawiający będzie kierował się następującymi kryteriami:</w:t>
      </w:r>
    </w:p>
    <w:p w:rsidR="005100D7" w:rsidRPr="005100D7" w:rsidRDefault="005100D7" w:rsidP="005100D7">
      <w:pPr>
        <w:rPr>
          <w:rFonts w:ascii="Times New Roman" w:eastAsia="Times New Roman" w:hAnsi="Times New Roman"/>
          <w:sz w:val="22"/>
          <w:szCs w:val="22"/>
          <w:lang w:eastAsia="pl-PL"/>
        </w:rPr>
      </w:pPr>
    </w:p>
    <w:p w:rsidR="005100D7" w:rsidRPr="005100D7" w:rsidRDefault="005100D7" w:rsidP="005100D7">
      <w:pPr>
        <w:autoSpaceDE w:val="0"/>
        <w:adjustRightInd w:val="0"/>
        <w:ind w:left="284"/>
        <w:contextualSpacing/>
        <w:jc w:val="both"/>
        <w:rPr>
          <w:rFonts w:ascii="Arial" w:eastAsia="Times New Roman" w:hAnsi="Arial"/>
          <w:b/>
          <w:sz w:val="22"/>
          <w:szCs w:val="22"/>
        </w:rPr>
      </w:pPr>
      <w:r w:rsidRPr="005100D7">
        <w:rPr>
          <w:rFonts w:ascii="Arial" w:eastAsia="Times New Roman" w:hAnsi="Arial"/>
          <w:b/>
          <w:sz w:val="22"/>
          <w:szCs w:val="22"/>
        </w:rPr>
        <w:t>A - Cena – 60 %</w:t>
      </w:r>
    </w:p>
    <w:p w:rsidR="005100D7" w:rsidRPr="005100D7" w:rsidRDefault="005100D7" w:rsidP="005100D7">
      <w:pPr>
        <w:autoSpaceDE w:val="0"/>
        <w:adjustRightInd w:val="0"/>
        <w:ind w:left="284"/>
        <w:contextualSpacing/>
        <w:jc w:val="both"/>
        <w:rPr>
          <w:rFonts w:ascii="Arial" w:eastAsia="Times New Roman" w:hAnsi="Arial"/>
          <w:b/>
          <w:sz w:val="22"/>
          <w:szCs w:val="22"/>
        </w:rPr>
      </w:pPr>
      <w:r w:rsidRPr="005100D7">
        <w:rPr>
          <w:rFonts w:ascii="Arial" w:eastAsia="Times New Roman" w:hAnsi="Arial"/>
          <w:b/>
          <w:sz w:val="22"/>
          <w:szCs w:val="22"/>
        </w:rPr>
        <w:t>B – Termin dostawy – 20 %</w:t>
      </w:r>
    </w:p>
    <w:p w:rsidR="005100D7" w:rsidRPr="005100D7" w:rsidRDefault="005100D7" w:rsidP="005100D7">
      <w:pPr>
        <w:autoSpaceDE w:val="0"/>
        <w:adjustRightInd w:val="0"/>
        <w:ind w:left="284"/>
        <w:contextualSpacing/>
        <w:jc w:val="both"/>
        <w:rPr>
          <w:rFonts w:ascii="Arial" w:eastAsia="Times New Roman" w:hAnsi="Arial"/>
          <w:b/>
          <w:sz w:val="22"/>
          <w:szCs w:val="22"/>
        </w:rPr>
      </w:pPr>
      <w:r w:rsidRPr="005100D7">
        <w:rPr>
          <w:rFonts w:ascii="Arial" w:eastAsia="Times New Roman" w:hAnsi="Arial"/>
          <w:b/>
          <w:sz w:val="22"/>
          <w:szCs w:val="22"/>
        </w:rPr>
        <w:t>C – Okres gwarancji i rękojmi</w:t>
      </w:r>
      <w:r w:rsidRPr="005100D7">
        <w:rPr>
          <w:rFonts w:ascii="Arial" w:eastAsia="Times New Roman" w:hAnsi="Arial"/>
          <w:sz w:val="22"/>
          <w:szCs w:val="22"/>
        </w:rPr>
        <w:t xml:space="preserve"> </w:t>
      </w:r>
      <w:r w:rsidRPr="005100D7">
        <w:rPr>
          <w:rFonts w:ascii="Arial" w:eastAsia="Times New Roman" w:hAnsi="Arial"/>
          <w:b/>
          <w:sz w:val="22"/>
          <w:szCs w:val="22"/>
        </w:rPr>
        <w:t xml:space="preserve">– 20 % </w:t>
      </w:r>
    </w:p>
    <w:p w:rsidR="005100D7" w:rsidRPr="005100D7" w:rsidRDefault="005100D7" w:rsidP="005100D7">
      <w:pPr>
        <w:jc w:val="both"/>
        <w:rPr>
          <w:rFonts w:ascii="Arial" w:eastAsia="Calibri" w:hAnsi="Arial"/>
          <w:sz w:val="22"/>
          <w:szCs w:val="22"/>
        </w:rPr>
      </w:pPr>
    </w:p>
    <w:p w:rsidR="005100D7" w:rsidRPr="005100D7" w:rsidRDefault="005100D7" w:rsidP="005100D7">
      <w:pPr>
        <w:widowControl/>
        <w:numPr>
          <w:ilvl w:val="0"/>
          <w:numId w:val="80"/>
        </w:numPr>
        <w:suppressAutoHyphens w:val="0"/>
        <w:autoSpaceDN/>
        <w:spacing w:after="200" w:line="276" w:lineRule="auto"/>
        <w:ind w:left="786"/>
        <w:jc w:val="both"/>
        <w:textAlignment w:val="auto"/>
        <w:rPr>
          <w:rFonts w:ascii="Arial" w:eastAsia="Calibri" w:hAnsi="Arial"/>
          <w:sz w:val="22"/>
          <w:szCs w:val="22"/>
        </w:rPr>
      </w:pPr>
      <w:r w:rsidRPr="005100D7">
        <w:rPr>
          <w:rFonts w:ascii="Arial" w:eastAsia="Calibri" w:hAnsi="Arial"/>
          <w:b/>
          <w:sz w:val="22"/>
          <w:szCs w:val="22"/>
        </w:rPr>
        <w:t>Kryterium „Cena”</w:t>
      </w:r>
      <w:r w:rsidRPr="005100D7">
        <w:rPr>
          <w:rFonts w:ascii="Arial" w:eastAsia="Calibri" w:hAnsi="Arial"/>
          <w:sz w:val="22"/>
          <w:szCs w:val="22"/>
        </w:rPr>
        <w:t xml:space="preserve"> będzie liczone w następujący sposób: </w:t>
      </w:r>
    </w:p>
    <w:p w:rsidR="005100D7" w:rsidRPr="005100D7" w:rsidRDefault="005100D7" w:rsidP="005100D7">
      <w:pPr>
        <w:spacing w:after="200" w:line="276" w:lineRule="auto"/>
        <w:ind w:left="786"/>
        <w:jc w:val="both"/>
        <w:rPr>
          <w:rFonts w:ascii="Arial" w:eastAsia="Calibri" w:hAnsi="Arial"/>
          <w:sz w:val="22"/>
          <w:szCs w:val="22"/>
        </w:rPr>
      </w:pPr>
      <w:r w:rsidRPr="005100D7">
        <w:rPr>
          <w:rFonts w:ascii="Arial" w:eastAsia="Calibri" w:hAnsi="Arial"/>
          <w:sz w:val="22"/>
          <w:szCs w:val="22"/>
        </w:rPr>
        <w:t>- najwyższą liczbę punktów za to kryterium (60 pkt) otrzyma oferta o najniższej cenie brutto (wskazanej w formularzu ofertowym i asortymentowo cenowym). Pozostali Wykonawcy odpowiednio mniej, stosownie do wzoru:</w:t>
      </w:r>
    </w:p>
    <w:p w:rsidR="005100D7" w:rsidRPr="005100D7" w:rsidRDefault="005100D7" w:rsidP="005100D7">
      <w:pPr>
        <w:tabs>
          <w:tab w:val="left" w:pos="3240"/>
        </w:tabs>
        <w:ind w:left="284"/>
        <w:rPr>
          <w:rFonts w:ascii="Arial" w:eastAsia="Calibri" w:hAnsi="Arial"/>
          <w:sz w:val="22"/>
          <w:szCs w:val="22"/>
        </w:rPr>
      </w:pPr>
      <w:r w:rsidRPr="005100D7">
        <w:rPr>
          <w:rFonts w:ascii="Arial" w:eastAsia="Calibri" w:hAnsi="Arial"/>
          <w:sz w:val="22"/>
          <w:szCs w:val="22"/>
        </w:rPr>
        <w:t xml:space="preserve">                                    Najniższa zaoferowana cena brutto</w:t>
      </w:r>
    </w:p>
    <w:p w:rsidR="005100D7" w:rsidRPr="005100D7" w:rsidRDefault="005100D7" w:rsidP="005100D7">
      <w:pPr>
        <w:ind w:left="284"/>
        <w:jc w:val="center"/>
        <w:rPr>
          <w:rFonts w:ascii="Arial" w:eastAsia="Calibri" w:hAnsi="Arial"/>
          <w:sz w:val="22"/>
          <w:szCs w:val="22"/>
          <w:vertAlign w:val="subscript"/>
        </w:rPr>
      </w:pPr>
      <w:r w:rsidRPr="005100D7">
        <w:rPr>
          <w:rFonts w:ascii="Arial" w:eastAsia="Calibri" w:hAnsi="Arial"/>
          <w:sz w:val="22"/>
          <w:szCs w:val="22"/>
        </w:rPr>
        <w:t>A = ------------------------------------------------------------------------- x 60 punktów</w:t>
      </w:r>
    </w:p>
    <w:p w:rsidR="005100D7" w:rsidRDefault="005100D7" w:rsidP="005100D7">
      <w:pPr>
        <w:tabs>
          <w:tab w:val="left" w:pos="3240"/>
        </w:tabs>
        <w:ind w:left="284"/>
        <w:rPr>
          <w:rFonts w:ascii="Arial" w:eastAsia="Calibri" w:hAnsi="Arial"/>
          <w:sz w:val="22"/>
          <w:szCs w:val="22"/>
        </w:rPr>
      </w:pPr>
      <w:r w:rsidRPr="005100D7">
        <w:rPr>
          <w:rFonts w:ascii="Arial" w:eastAsia="Calibri" w:hAnsi="Arial"/>
          <w:sz w:val="22"/>
          <w:szCs w:val="22"/>
        </w:rPr>
        <w:t xml:space="preserve">                                     Cena brutto oferty badanej</w:t>
      </w:r>
    </w:p>
    <w:p w:rsidR="005100D7" w:rsidRPr="005100D7" w:rsidRDefault="005100D7" w:rsidP="005100D7">
      <w:pPr>
        <w:tabs>
          <w:tab w:val="left" w:pos="3240"/>
        </w:tabs>
        <w:ind w:left="284"/>
        <w:rPr>
          <w:rFonts w:ascii="Arial" w:eastAsia="Calibri" w:hAnsi="Arial"/>
          <w:sz w:val="22"/>
          <w:szCs w:val="22"/>
        </w:rPr>
      </w:pPr>
    </w:p>
    <w:p w:rsidR="005100D7" w:rsidRPr="005100D7" w:rsidRDefault="005100D7" w:rsidP="005100D7">
      <w:pPr>
        <w:tabs>
          <w:tab w:val="left" w:pos="426"/>
        </w:tabs>
        <w:ind w:left="567"/>
        <w:jc w:val="both"/>
        <w:rPr>
          <w:rFonts w:ascii="Arial" w:eastAsia="Times New Roman" w:hAnsi="Arial"/>
          <w:sz w:val="22"/>
          <w:szCs w:val="22"/>
        </w:rPr>
      </w:pPr>
      <w:r w:rsidRPr="005100D7">
        <w:rPr>
          <w:rFonts w:ascii="Arial" w:eastAsia="Times New Roman" w:hAnsi="Arial"/>
          <w:sz w:val="22"/>
          <w:szCs w:val="22"/>
        </w:rPr>
        <w:t>W cenie brutto muszą być zawarte wszystkie koszty niezbędne do wykonania zamówienia.</w:t>
      </w:r>
    </w:p>
    <w:p w:rsidR="005100D7" w:rsidRPr="005100D7" w:rsidRDefault="005100D7" w:rsidP="005100D7">
      <w:pPr>
        <w:spacing w:after="200" w:line="276" w:lineRule="auto"/>
        <w:ind w:left="426" w:hanging="426"/>
        <w:jc w:val="both"/>
        <w:rPr>
          <w:rFonts w:ascii="Arial" w:eastAsia="Calibri" w:hAnsi="Arial"/>
          <w:bCs/>
          <w:sz w:val="22"/>
          <w:szCs w:val="22"/>
        </w:rPr>
      </w:pPr>
      <w:r w:rsidRPr="005100D7">
        <w:rPr>
          <w:rFonts w:ascii="Arial" w:eastAsia="Calibri" w:hAnsi="Arial"/>
          <w:sz w:val="22"/>
          <w:szCs w:val="22"/>
        </w:rPr>
        <w:t xml:space="preserve">   </w:t>
      </w:r>
    </w:p>
    <w:p w:rsidR="005100D7" w:rsidRPr="005100D7" w:rsidRDefault="005100D7" w:rsidP="005100D7">
      <w:pPr>
        <w:pStyle w:val="Akapitzlist"/>
        <w:numPr>
          <w:ilvl w:val="0"/>
          <w:numId w:val="80"/>
        </w:numPr>
        <w:suppressAutoHyphens w:val="0"/>
        <w:autoSpaceDN/>
        <w:spacing w:after="200" w:line="276" w:lineRule="auto"/>
        <w:ind w:left="786"/>
        <w:contextualSpacing/>
        <w:jc w:val="both"/>
        <w:textAlignment w:val="auto"/>
        <w:rPr>
          <w:rFonts w:ascii="Arial" w:eastAsia="Calibri" w:hAnsi="Arial"/>
          <w:sz w:val="22"/>
          <w:szCs w:val="22"/>
        </w:rPr>
      </w:pPr>
      <w:r w:rsidRPr="005100D7">
        <w:rPr>
          <w:rFonts w:ascii="Arial" w:hAnsi="Arial"/>
          <w:b/>
          <w:sz w:val="22"/>
          <w:szCs w:val="22"/>
        </w:rPr>
        <w:t>Kryterium „Termin dostawy”</w:t>
      </w:r>
      <w:r w:rsidRPr="005100D7">
        <w:rPr>
          <w:rFonts w:ascii="Arial" w:hAnsi="Arial"/>
          <w:sz w:val="22"/>
          <w:szCs w:val="22"/>
        </w:rPr>
        <w:t xml:space="preserve"> </w:t>
      </w:r>
      <w:r w:rsidRPr="005100D7">
        <w:rPr>
          <w:rFonts w:ascii="Arial" w:eastAsia="Calibri" w:hAnsi="Arial"/>
          <w:sz w:val="22"/>
          <w:szCs w:val="22"/>
        </w:rPr>
        <w:t xml:space="preserve">będzie liczone w następujący sposób: </w:t>
      </w:r>
    </w:p>
    <w:p w:rsidR="005100D7" w:rsidRPr="005100D7" w:rsidRDefault="005100D7" w:rsidP="005100D7">
      <w:pPr>
        <w:spacing w:after="200" w:line="276" w:lineRule="auto"/>
        <w:ind w:left="786"/>
        <w:jc w:val="both"/>
        <w:rPr>
          <w:rFonts w:ascii="Arial" w:eastAsia="Calibri" w:hAnsi="Arial"/>
          <w:sz w:val="22"/>
          <w:szCs w:val="22"/>
        </w:rPr>
      </w:pPr>
      <w:r w:rsidRPr="005100D7">
        <w:rPr>
          <w:rFonts w:ascii="Arial" w:eastAsia="Calibri" w:hAnsi="Arial"/>
          <w:sz w:val="22"/>
          <w:szCs w:val="22"/>
        </w:rPr>
        <w:t>- najwyższą liczbę punktów za to kryterium (20 pkt) otrzyma oferta o najkrótszym terminie dostawy. Pozostali Wykonawcy odpowiednio mniej, stosownie do wzoru:</w:t>
      </w:r>
    </w:p>
    <w:p w:rsidR="005100D7" w:rsidRPr="005100D7" w:rsidRDefault="005100D7" w:rsidP="005100D7">
      <w:pPr>
        <w:tabs>
          <w:tab w:val="left" w:pos="3240"/>
        </w:tabs>
        <w:ind w:left="284"/>
        <w:rPr>
          <w:rFonts w:ascii="Arial" w:eastAsia="Calibri" w:hAnsi="Arial"/>
          <w:sz w:val="22"/>
          <w:szCs w:val="22"/>
        </w:rPr>
      </w:pPr>
      <w:r w:rsidRPr="005100D7">
        <w:rPr>
          <w:rFonts w:ascii="Arial" w:eastAsia="Calibri" w:hAnsi="Arial"/>
          <w:sz w:val="22"/>
          <w:szCs w:val="22"/>
        </w:rPr>
        <w:t xml:space="preserve">                                    Najkrótszy zaoferowany termin dostawy</w:t>
      </w:r>
    </w:p>
    <w:p w:rsidR="005100D7" w:rsidRPr="005100D7" w:rsidRDefault="005100D7" w:rsidP="005100D7">
      <w:pPr>
        <w:ind w:left="284"/>
        <w:jc w:val="center"/>
        <w:rPr>
          <w:rFonts w:ascii="Arial" w:eastAsia="Calibri" w:hAnsi="Arial"/>
          <w:sz w:val="22"/>
          <w:szCs w:val="22"/>
          <w:vertAlign w:val="subscript"/>
        </w:rPr>
      </w:pPr>
      <w:r w:rsidRPr="005100D7">
        <w:rPr>
          <w:rFonts w:ascii="Arial" w:eastAsia="Calibri" w:hAnsi="Arial"/>
          <w:sz w:val="22"/>
          <w:szCs w:val="22"/>
        </w:rPr>
        <w:t>B = ----------------------------------------------------------------------------------- x 20 punktów</w:t>
      </w:r>
    </w:p>
    <w:p w:rsidR="005100D7" w:rsidRDefault="005100D7" w:rsidP="005100D7">
      <w:pPr>
        <w:tabs>
          <w:tab w:val="left" w:pos="3240"/>
        </w:tabs>
        <w:ind w:left="284"/>
        <w:rPr>
          <w:rFonts w:ascii="Arial" w:eastAsia="Calibri" w:hAnsi="Arial"/>
          <w:sz w:val="22"/>
          <w:szCs w:val="22"/>
        </w:rPr>
      </w:pPr>
      <w:r w:rsidRPr="005100D7">
        <w:rPr>
          <w:rFonts w:ascii="Arial" w:eastAsia="Calibri" w:hAnsi="Arial"/>
          <w:sz w:val="22"/>
          <w:szCs w:val="22"/>
        </w:rPr>
        <w:t xml:space="preserve">                                     Termin dostawy oferty badanej</w:t>
      </w:r>
    </w:p>
    <w:p w:rsidR="005100D7" w:rsidRPr="005100D7" w:rsidRDefault="005100D7" w:rsidP="005100D7">
      <w:pPr>
        <w:tabs>
          <w:tab w:val="left" w:pos="3240"/>
        </w:tabs>
        <w:ind w:left="284"/>
        <w:rPr>
          <w:rFonts w:ascii="Arial" w:eastAsia="Calibri" w:hAnsi="Arial"/>
          <w:sz w:val="22"/>
          <w:szCs w:val="22"/>
        </w:rPr>
      </w:pPr>
    </w:p>
    <w:p w:rsidR="005100D7" w:rsidRPr="005100D7" w:rsidRDefault="005100D7" w:rsidP="005100D7">
      <w:pPr>
        <w:spacing w:line="276" w:lineRule="auto"/>
        <w:ind w:left="567"/>
        <w:jc w:val="both"/>
        <w:rPr>
          <w:rFonts w:ascii="Arial" w:eastAsia="Times New Roman" w:hAnsi="Arial"/>
          <w:b/>
          <w:sz w:val="22"/>
          <w:szCs w:val="22"/>
        </w:rPr>
      </w:pPr>
      <w:r w:rsidRPr="005100D7">
        <w:rPr>
          <w:rFonts w:ascii="Arial" w:eastAsia="Times New Roman" w:hAnsi="Arial"/>
          <w:b/>
          <w:sz w:val="22"/>
          <w:szCs w:val="22"/>
        </w:rPr>
        <w:t xml:space="preserve">Uwaga ! </w:t>
      </w:r>
    </w:p>
    <w:p w:rsidR="005100D7" w:rsidRDefault="005100D7" w:rsidP="005100D7">
      <w:pPr>
        <w:spacing w:line="276" w:lineRule="auto"/>
        <w:ind w:left="567"/>
        <w:jc w:val="both"/>
        <w:rPr>
          <w:rFonts w:ascii="Arial" w:eastAsia="Times New Roman" w:hAnsi="Arial"/>
          <w:sz w:val="22"/>
          <w:szCs w:val="22"/>
        </w:rPr>
      </w:pPr>
      <w:r w:rsidRPr="005100D7">
        <w:rPr>
          <w:rFonts w:ascii="Arial" w:eastAsia="Times New Roman" w:hAnsi="Arial"/>
          <w:sz w:val="22"/>
          <w:szCs w:val="22"/>
        </w:rPr>
        <w:t xml:space="preserve">Wykonawca, który zaoferuje maksymalny termin dostawy tj. </w:t>
      </w:r>
      <w:r w:rsidRPr="005100D7">
        <w:rPr>
          <w:rFonts w:ascii="Arial" w:eastAsia="Times New Roman" w:hAnsi="Arial"/>
          <w:b/>
          <w:sz w:val="22"/>
          <w:szCs w:val="22"/>
        </w:rPr>
        <w:t>28 dni</w:t>
      </w:r>
      <w:r w:rsidRPr="005100D7">
        <w:rPr>
          <w:rFonts w:ascii="Arial" w:eastAsia="Times New Roman" w:hAnsi="Arial"/>
          <w:sz w:val="22"/>
          <w:szCs w:val="22"/>
        </w:rPr>
        <w:t xml:space="preserve"> kalendarzowych otrzyma 0 pkt. Termin dostawy należy podać w pełnych dniach, np. 3, 12, 18 (…) </w:t>
      </w:r>
      <w:r w:rsidRPr="005100D7">
        <w:rPr>
          <w:rFonts w:ascii="Arial" w:eastAsia="Times New Roman" w:hAnsi="Arial"/>
          <w:b/>
          <w:sz w:val="22"/>
          <w:szCs w:val="22"/>
        </w:rPr>
        <w:t>max. 28 dni kalendarzowych</w:t>
      </w:r>
      <w:r w:rsidRPr="005100D7">
        <w:rPr>
          <w:rFonts w:ascii="Arial" w:eastAsia="Times New Roman" w:hAnsi="Arial"/>
          <w:sz w:val="22"/>
          <w:szCs w:val="22"/>
        </w:rPr>
        <w:t xml:space="preserve">. W przypadku, gdy Wykonawca nie wskaże powyższego w formularzu ofertowym Zamawiający przyjmie, iż zaoferowano maksymalny dopuszczony termin dostawy, a co za tym idzie Wykonawca otrzyma 0 pkt. Jeśli Wykonawca zaoferuje termin dostawy dłuższy niż </w:t>
      </w:r>
      <w:r w:rsidRPr="005100D7">
        <w:rPr>
          <w:rFonts w:ascii="Arial" w:eastAsia="Times New Roman" w:hAnsi="Arial"/>
          <w:b/>
          <w:sz w:val="22"/>
          <w:szCs w:val="22"/>
        </w:rPr>
        <w:t>28 dni</w:t>
      </w:r>
      <w:r w:rsidRPr="005100D7">
        <w:rPr>
          <w:rFonts w:ascii="Arial" w:eastAsia="Times New Roman" w:hAnsi="Arial"/>
          <w:sz w:val="22"/>
          <w:szCs w:val="22"/>
        </w:rPr>
        <w:t xml:space="preserve">, Zamawiający odrzuci ofertę na podstawie art. 226 ust. 1 pkt. 5) Ustawy </w:t>
      </w:r>
      <w:proofErr w:type="spellStart"/>
      <w:r w:rsidRPr="005100D7">
        <w:rPr>
          <w:rFonts w:ascii="Arial" w:eastAsia="Times New Roman" w:hAnsi="Arial"/>
          <w:sz w:val="22"/>
          <w:szCs w:val="22"/>
        </w:rPr>
        <w:t>Pzp</w:t>
      </w:r>
      <w:proofErr w:type="spellEnd"/>
      <w:r w:rsidRPr="005100D7">
        <w:rPr>
          <w:rFonts w:ascii="Arial" w:eastAsia="Times New Roman" w:hAnsi="Arial"/>
          <w:sz w:val="22"/>
          <w:szCs w:val="22"/>
        </w:rPr>
        <w:t>, bowiem jej treść jest niezgodna z warunkami zamówienia.</w:t>
      </w:r>
    </w:p>
    <w:p w:rsidR="005100D7" w:rsidRPr="005100D7" w:rsidRDefault="005100D7" w:rsidP="005100D7">
      <w:pPr>
        <w:spacing w:line="276" w:lineRule="auto"/>
        <w:ind w:left="567"/>
        <w:jc w:val="both"/>
        <w:rPr>
          <w:rFonts w:ascii="Arial" w:eastAsia="Times New Roman" w:hAnsi="Arial"/>
          <w:sz w:val="22"/>
          <w:szCs w:val="22"/>
        </w:rPr>
      </w:pPr>
    </w:p>
    <w:p w:rsidR="005100D7" w:rsidRPr="005100D7" w:rsidRDefault="005100D7" w:rsidP="005100D7">
      <w:pPr>
        <w:widowControl/>
        <w:numPr>
          <w:ilvl w:val="0"/>
          <w:numId w:val="80"/>
        </w:numPr>
        <w:suppressAutoHyphens w:val="0"/>
        <w:autoSpaceDN/>
        <w:spacing w:after="200" w:line="276" w:lineRule="auto"/>
        <w:ind w:left="786"/>
        <w:jc w:val="both"/>
        <w:textAlignment w:val="auto"/>
        <w:rPr>
          <w:rFonts w:ascii="Arial" w:eastAsia="Calibri" w:hAnsi="Arial"/>
          <w:sz w:val="22"/>
          <w:szCs w:val="22"/>
        </w:rPr>
      </w:pPr>
      <w:r w:rsidRPr="005100D7">
        <w:rPr>
          <w:rFonts w:ascii="Arial" w:eastAsia="Calibri" w:hAnsi="Arial"/>
          <w:b/>
          <w:sz w:val="22"/>
          <w:szCs w:val="22"/>
        </w:rPr>
        <w:t xml:space="preserve">Kryterium „Okres </w:t>
      </w:r>
      <w:r w:rsidRPr="005100D7">
        <w:rPr>
          <w:rFonts w:ascii="Arial" w:eastAsia="Times New Roman" w:hAnsi="Arial"/>
          <w:b/>
          <w:sz w:val="22"/>
          <w:szCs w:val="22"/>
        </w:rPr>
        <w:t>gwarancji i rękojmi</w:t>
      </w:r>
      <w:r w:rsidRPr="005100D7">
        <w:rPr>
          <w:rFonts w:ascii="Arial" w:eastAsia="Times New Roman" w:hAnsi="Arial"/>
          <w:sz w:val="22"/>
          <w:szCs w:val="22"/>
        </w:rPr>
        <w:t xml:space="preserve">” </w:t>
      </w:r>
      <w:r w:rsidRPr="005100D7">
        <w:rPr>
          <w:rFonts w:ascii="Arial" w:eastAsia="Calibri" w:hAnsi="Arial"/>
          <w:sz w:val="22"/>
          <w:szCs w:val="22"/>
        </w:rPr>
        <w:t>będzie liczone w następujący sposób:</w:t>
      </w:r>
    </w:p>
    <w:p w:rsidR="005100D7" w:rsidRPr="005100D7" w:rsidRDefault="005100D7" w:rsidP="005100D7">
      <w:pPr>
        <w:spacing w:after="200" w:line="276" w:lineRule="auto"/>
        <w:ind w:left="786"/>
        <w:jc w:val="both"/>
        <w:rPr>
          <w:rFonts w:ascii="Arial" w:eastAsia="Calibri" w:hAnsi="Arial"/>
          <w:sz w:val="22"/>
          <w:szCs w:val="22"/>
        </w:rPr>
      </w:pPr>
      <w:r w:rsidRPr="005100D7">
        <w:rPr>
          <w:rFonts w:ascii="Arial" w:eastAsia="Calibri" w:hAnsi="Arial"/>
          <w:sz w:val="22"/>
          <w:szCs w:val="22"/>
        </w:rPr>
        <w:t>- najwyższą liczbę punktów za to kryterium (20 pkt) otrzyma oferta o najdłuższym terminie gwarancji i rękojmi. Pozostali Wykonawcy odpowiednio mniej, stosownie do wzoru:</w:t>
      </w:r>
    </w:p>
    <w:p w:rsidR="005100D7" w:rsidRPr="005100D7" w:rsidRDefault="005100D7" w:rsidP="005100D7">
      <w:pPr>
        <w:tabs>
          <w:tab w:val="left" w:pos="3240"/>
        </w:tabs>
        <w:ind w:left="284"/>
        <w:jc w:val="center"/>
        <w:rPr>
          <w:rFonts w:ascii="Arial" w:eastAsia="Calibri" w:hAnsi="Arial"/>
          <w:sz w:val="22"/>
          <w:szCs w:val="22"/>
        </w:rPr>
      </w:pPr>
      <w:r w:rsidRPr="005100D7">
        <w:rPr>
          <w:rFonts w:ascii="Arial" w:eastAsia="Calibri" w:hAnsi="Arial"/>
          <w:sz w:val="22"/>
          <w:szCs w:val="22"/>
        </w:rPr>
        <w:t>Okres gwarancji i rękojmi oferty badanej</w:t>
      </w:r>
    </w:p>
    <w:p w:rsidR="005100D7" w:rsidRPr="005100D7" w:rsidRDefault="005100D7" w:rsidP="005100D7">
      <w:pPr>
        <w:ind w:left="1134"/>
        <w:jc w:val="center"/>
        <w:rPr>
          <w:rFonts w:ascii="Arial" w:eastAsia="Calibri" w:hAnsi="Arial"/>
          <w:sz w:val="22"/>
          <w:szCs w:val="22"/>
          <w:vertAlign w:val="subscript"/>
        </w:rPr>
      </w:pPr>
      <w:r w:rsidRPr="005100D7">
        <w:rPr>
          <w:rFonts w:ascii="Arial" w:eastAsia="Calibri" w:hAnsi="Arial"/>
          <w:sz w:val="22"/>
          <w:szCs w:val="22"/>
        </w:rPr>
        <w:t>C = ----------------------------------------------------------------- x 20 punktów</w:t>
      </w:r>
    </w:p>
    <w:p w:rsidR="005100D7" w:rsidRDefault="005100D7" w:rsidP="005100D7">
      <w:pPr>
        <w:ind w:left="284"/>
        <w:jc w:val="center"/>
        <w:rPr>
          <w:rFonts w:ascii="Arial" w:eastAsia="Calibri" w:hAnsi="Arial"/>
          <w:sz w:val="22"/>
          <w:szCs w:val="22"/>
        </w:rPr>
      </w:pPr>
      <w:r w:rsidRPr="005100D7">
        <w:rPr>
          <w:rFonts w:ascii="Arial" w:eastAsia="Calibri" w:hAnsi="Arial"/>
          <w:sz w:val="22"/>
          <w:szCs w:val="22"/>
        </w:rPr>
        <w:t xml:space="preserve">Najdłuższy zaoferowany okres </w:t>
      </w:r>
      <w:r w:rsidRPr="005100D7">
        <w:rPr>
          <w:rFonts w:ascii="Arial" w:eastAsia="Calibri" w:hAnsi="Arial"/>
          <w:sz w:val="22"/>
          <w:szCs w:val="22"/>
        </w:rPr>
        <w:br/>
        <w:t>gwarancji i rękojmi</w:t>
      </w:r>
    </w:p>
    <w:p w:rsidR="005100D7" w:rsidRPr="005100D7" w:rsidRDefault="005100D7" w:rsidP="005100D7">
      <w:pPr>
        <w:ind w:left="284"/>
        <w:jc w:val="center"/>
        <w:rPr>
          <w:rFonts w:ascii="Arial" w:eastAsia="Calibri" w:hAnsi="Arial"/>
          <w:sz w:val="22"/>
          <w:szCs w:val="22"/>
        </w:rPr>
      </w:pPr>
    </w:p>
    <w:p w:rsidR="005100D7" w:rsidRPr="005100D7" w:rsidRDefault="005100D7" w:rsidP="005100D7">
      <w:pPr>
        <w:spacing w:line="276" w:lineRule="auto"/>
        <w:ind w:left="567"/>
        <w:jc w:val="both"/>
        <w:rPr>
          <w:rFonts w:ascii="Arial" w:eastAsia="Times New Roman" w:hAnsi="Arial"/>
          <w:b/>
          <w:sz w:val="22"/>
          <w:szCs w:val="22"/>
        </w:rPr>
      </w:pPr>
      <w:r w:rsidRPr="005100D7">
        <w:rPr>
          <w:rFonts w:ascii="Arial" w:eastAsia="Times New Roman" w:hAnsi="Arial"/>
          <w:b/>
          <w:sz w:val="22"/>
          <w:szCs w:val="22"/>
        </w:rPr>
        <w:t xml:space="preserve">Uwaga ! </w:t>
      </w:r>
    </w:p>
    <w:p w:rsidR="005100D7" w:rsidRPr="005100D7" w:rsidRDefault="005100D7" w:rsidP="005100D7">
      <w:pPr>
        <w:spacing w:line="276" w:lineRule="auto"/>
        <w:ind w:left="567"/>
        <w:jc w:val="both"/>
        <w:rPr>
          <w:rFonts w:ascii="Arial" w:eastAsia="Times New Roman" w:hAnsi="Arial"/>
          <w:sz w:val="22"/>
          <w:szCs w:val="22"/>
        </w:rPr>
      </w:pPr>
      <w:r w:rsidRPr="005100D7">
        <w:rPr>
          <w:rFonts w:ascii="Arial" w:eastAsia="Times New Roman" w:hAnsi="Arial"/>
          <w:sz w:val="22"/>
          <w:szCs w:val="22"/>
        </w:rPr>
        <w:t xml:space="preserve">Wykonawca, który zaoferuje minimalny okres gwarancji i rękojmi tj. </w:t>
      </w:r>
      <w:r w:rsidRPr="005100D7">
        <w:rPr>
          <w:rFonts w:ascii="Arial" w:eastAsia="Times New Roman" w:hAnsi="Arial"/>
          <w:b/>
          <w:sz w:val="22"/>
          <w:szCs w:val="22"/>
        </w:rPr>
        <w:t>24 miesiące</w:t>
      </w:r>
      <w:r w:rsidRPr="005100D7">
        <w:rPr>
          <w:rFonts w:ascii="Arial" w:eastAsia="Times New Roman" w:hAnsi="Arial"/>
          <w:sz w:val="22"/>
          <w:szCs w:val="22"/>
        </w:rPr>
        <w:t xml:space="preserve"> otrzyma 0 pkt. Okres gwarancji i rękojmi należy podać w pełnych miesiącach, np. 24, 25, 48 (…) </w:t>
      </w:r>
      <w:r w:rsidRPr="005100D7">
        <w:rPr>
          <w:rFonts w:ascii="Arial" w:eastAsia="Times New Roman" w:hAnsi="Arial"/>
          <w:b/>
          <w:sz w:val="22"/>
          <w:szCs w:val="22"/>
        </w:rPr>
        <w:t>max. 60 miesięcy</w:t>
      </w:r>
      <w:r w:rsidRPr="005100D7">
        <w:rPr>
          <w:rFonts w:ascii="Arial" w:eastAsia="Times New Roman" w:hAnsi="Arial"/>
          <w:sz w:val="22"/>
          <w:szCs w:val="22"/>
        </w:rPr>
        <w:t>. 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 tj. 60 miesięcy.</w:t>
      </w:r>
    </w:p>
    <w:p w:rsidR="005100D7" w:rsidRPr="005100D7" w:rsidRDefault="005100D7" w:rsidP="00CC340E">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sz w:val="22"/>
          <w:szCs w:val="22"/>
          <w:lang w:eastAsia="x-none"/>
        </w:rPr>
      </w:pPr>
      <w:r w:rsidRPr="005100D7">
        <w:rPr>
          <w:rFonts w:ascii="Arial" w:eastAsia="CIDFont+F6" w:hAnsi="Arial"/>
          <w:sz w:val="22"/>
          <w:szCs w:val="22"/>
          <w:lang w:eastAsia="pl-PL"/>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lastRenderedPageBreak/>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FB4772" w:rsidRPr="00CC340E" w:rsidRDefault="0089174C" w:rsidP="00FB4772">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C1325">
        <w:rPr>
          <w:rFonts w:ascii="Arial" w:hAnsi="Arial"/>
          <w:sz w:val="22"/>
          <w:szCs w:val="22"/>
        </w:rPr>
        <w:t>Katarzyna Słota</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FB4772" w:rsidRPr="0025642A" w:rsidRDefault="0089174C" w:rsidP="00CC340E">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7B3356" w:rsidRPr="00CC340E" w:rsidRDefault="0089174C" w:rsidP="00CC340E">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CC340E" w:rsidRPr="00CC340E" w:rsidTr="00777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CC340E" w:rsidRPr="00CC340E" w:rsidRDefault="00CC340E" w:rsidP="00777390">
            <w:pPr>
              <w:spacing w:before="120" w:line="276" w:lineRule="auto"/>
              <w:rPr>
                <w:rFonts w:ascii="Arial" w:eastAsia="Arial" w:hAnsi="Arial"/>
                <w:sz w:val="22"/>
                <w:szCs w:val="22"/>
                <w:lang w:eastAsia="pl-PL"/>
              </w:rPr>
            </w:pPr>
            <w:r w:rsidRPr="00CC340E">
              <w:rPr>
                <w:rFonts w:ascii="Arial" w:eastAsia="Arial" w:hAnsi="Arial"/>
                <w:sz w:val="22"/>
                <w:szCs w:val="22"/>
                <w:lang w:eastAsia="pl-PL"/>
              </w:rPr>
              <w:t>Wszystkie załączniki stanowią integralną część SWZ:</w:t>
            </w:r>
          </w:p>
        </w:tc>
        <w:tc>
          <w:tcPr>
            <w:tcW w:w="1820" w:type="dxa"/>
            <w:shd w:val="clear" w:color="auto" w:fill="auto"/>
            <w:vAlign w:val="bottom"/>
          </w:tcPr>
          <w:p w:rsidR="00CC340E" w:rsidRPr="00CC340E" w:rsidRDefault="00CC340E" w:rsidP="00777390">
            <w:pPr>
              <w:spacing w:line="276" w:lineRule="auto"/>
              <w:rPr>
                <w:rFonts w:ascii="Times New Roman" w:eastAsia="Times New Roman" w:hAnsi="Times New Roman"/>
                <w:sz w:val="22"/>
                <w:szCs w:val="22"/>
                <w:lang w:eastAsia="pl-PL"/>
              </w:rPr>
            </w:pPr>
          </w:p>
        </w:tc>
      </w:tr>
    </w:tbl>
    <w:p w:rsidR="00CC340E" w:rsidRPr="00CC340E" w:rsidRDefault="00CC340E" w:rsidP="00CC340E">
      <w:pPr>
        <w:pStyle w:val="Akapitzlist"/>
        <w:widowControl w:val="0"/>
        <w:numPr>
          <w:ilvl w:val="0"/>
          <w:numId w:val="7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ofertowy stanowiący załącznik nr 1 do SWZ,</w:t>
      </w:r>
    </w:p>
    <w:p w:rsidR="00CC340E" w:rsidRPr="00CC340E" w:rsidRDefault="00CC340E" w:rsidP="00CC340E">
      <w:pPr>
        <w:pStyle w:val="Akapitzlist"/>
        <w:widowControl w:val="0"/>
        <w:numPr>
          <w:ilvl w:val="0"/>
          <w:numId w:val="7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asortymentowo-cenowy stanowiący załącznik nr 2 do SWZ,</w:t>
      </w:r>
    </w:p>
    <w:p w:rsidR="00CC340E" w:rsidRPr="00CC340E" w:rsidRDefault="00CC340E" w:rsidP="00CC340E">
      <w:pPr>
        <w:pStyle w:val="Standard"/>
        <w:widowControl w:val="0"/>
        <w:numPr>
          <w:ilvl w:val="0"/>
          <w:numId w:val="78"/>
        </w:numPr>
        <w:tabs>
          <w:tab w:val="left" w:pos="1185"/>
        </w:tabs>
        <w:spacing w:after="0"/>
        <w:ind w:left="714" w:hanging="357"/>
        <w:jc w:val="both"/>
        <w:textAlignment w:val="auto"/>
        <w:rPr>
          <w:rFonts w:ascii="Arial" w:hAnsi="Arial"/>
        </w:rPr>
      </w:pPr>
      <w:r w:rsidRPr="00CC340E">
        <w:rPr>
          <w:rFonts w:ascii="Arial" w:hAnsi="Arial"/>
        </w:rPr>
        <w:t>Oświadczenie o niepodleganiu wykluczeniu i spełnieniu warunków udziału stanowiące załącznik nr 3 do SWZ - JEDZ,</w:t>
      </w:r>
    </w:p>
    <w:p w:rsidR="005100D7" w:rsidRDefault="00CC340E" w:rsidP="005100D7">
      <w:pPr>
        <w:pStyle w:val="Standard"/>
        <w:widowControl w:val="0"/>
        <w:numPr>
          <w:ilvl w:val="0"/>
          <w:numId w:val="78"/>
        </w:numPr>
        <w:tabs>
          <w:tab w:val="left" w:pos="1185"/>
        </w:tabs>
        <w:spacing w:after="0"/>
        <w:ind w:left="714" w:hanging="357"/>
        <w:jc w:val="both"/>
        <w:textAlignment w:val="auto"/>
        <w:rPr>
          <w:rFonts w:ascii="Arial" w:hAnsi="Arial"/>
        </w:rPr>
      </w:pPr>
      <w:r w:rsidRPr="00CC340E">
        <w:rPr>
          <w:rFonts w:ascii="Arial" w:hAnsi="Arial"/>
        </w:rPr>
        <w:t>Projektowane postanowienia umowy stanowiące załącznik nr 4 do SWZ.</w:t>
      </w:r>
    </w:p>
    <w:p w:rsidR="005100D7" w:rsidRDefault="005100D7" w:rsidP="005100D7">
      <w:pPr>
        <w:pStyle w:val="Standard"/>
        <w:widowControl w:val="0"/>
        <w:numPr>
          <w:ilvl w:val="0"/>
          <w:numId w:val="78"/>
        </w:numPr>
        <w:tabs>
          <w:tab w:val="left" w:pos="1185"/>
        </w:tabs>
        <w:spacing w:after="0"/>
        <w:ind w:left="714" w:hanging="357"/>
        <w:jc w:val="both"/>
        <w:textAlignment w:val="auto"/>
        <w:rPr>
          <w:rFonts w:ascii="Arial" w:hAnsi="Arial"/>
        </w:rPr>
      </w:pPr>
      <w:r w:rsidRPr="005100D7">
        <w:rPr>
          <w:rFonts w:ascii="Arial" w:hAnsi="Arial"/>
        </w:rPr>
        <w:t>Projektowane postanowienia umowy powierzenia przetwarzania danych osobowych stanowiące załącznik nr 5 do SWZ,</w:t>
      </w:r>
    </w:p>
    <w:p w:rsidR="005100D7" w:rsidRDefault="005100D7" w:rsidP="005100D7">
      <w:pPr>
        <w:pStyle w:val="Standard"/>
        <w:widowControl w:val="0"/>
        <w:numPr>
          <w:ilvl w:val="0"/>
          <w:numId w:val="78"/>
        </w:numPr>
        <w:tabs>
          <w:tab w:val="left" w:pos="1185"/>
        </w:tabs>
        <w:spacing w:after="0"/>
        <w:ind w:left="714" w:hanging="357"/>
        <w:jc w:val="both"/>
        <w:textAlignment w:val="auto"/>
        <w:rPr>
          <w:rFonts w:ascii="Arial" w:hAnsi="Arial"/>
        </w:rPr>
      </w:pPr>
      <w:r w:rsidRPr="005100D7">
        <w:rPr>
          <w:rFonts w:ascii="Arial" w:hAnsi="Arial"/>
        </w:rPr>
        <w:t>Protokół odbioru stanowiący załącznik nr 6 do SWZ,</w:t>
      </w:r>
    </w:p>
    <w:p w:rsidR="005100D7" w:rsidRPr="005100D7" w:rsidRDefault="005100D7" w:rsidP="005100D7">
      <w:pPr>
        <w:pStyle w:val="Standard"/>
        <w:widowControl w:val="0"/>
        <w:numPr>
          <w:ilvl w:val="0"/>
          <w:numId w:val="78"/>
        </w:numPr>
        <w:tabs>
          <w:tab w:val="left" w:pos="1185"/>
        </w:tabs>
        <w:spacing w:after="0"/>
        <w:ind w:left="714" w:hanging="357"/>
        <w:jc w:val="both"/>
        <w:textAlignment w:val="auto"/>
        <w:rPr>
          <w:rFonts w:ascii="Arial" w:hAnsi="Arial"/>
        </w:rPr>
      </w:pPr>
      <w:r w:rsidRPr="005100D7">
        <w:rPr>
          <w:rFonts w:ascii="Arial" w:hAnsi="Arial"/>
        </w:rPr>
        <w:t>Protokół ze szkolenia stanowiący załącznik nr 7 do SWZ.</w:t>
      </w:r>
    </w:p>
    <w:p w:rsidR="00EF12AE" w:rsidRDefault="00EF12AE" w:rsidP="005100D7">
      <w:pPr>
        <w:pStyle w:val="Tekstpodstawowy2"/>
        <w:spacing w:line="276" w:lineRule="auto"/>
        <w:jc w:val="left"/>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1E" w:rsidRDefault="0005421E">
      <w:r>
        <w:separator/>
      </w:r>
    </w:p>
  </w:endnote>
  <w:endnote w:type="continuationSeparator" w:id="0">
    <w:p w:rsidR="0005421E" w:rsidRDefault="000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F33FF">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F33FF">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1E" w:rsidRDefault="0005421E">
      <w:r>
        <w:rPr>
          <w:color w:val="000000"/>
        </w:rPr>
        <w:separator/>
      </w:r>
    </w:p>
  </w:footnote>
  <w:footnote w:type="continuationSeparator" w:id="0">
    <w:p w:rsidR="0005421E" w:rsidRDefault="00054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6A236E"/>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1"/>
  </w:num>
  <w:num w:numId="2">
    <w:abstractNumId w:val="39"/>
  </w:num>
  <w:num w:numId="3">
    <w:abstractNumId w:val="14"/>
  </w:num>
  <w:num w:numId="4">
    <w:abstractNumId w:val="19"/>
  </w:num>
  <w:num w:numId="5">
    <w:abstractNumId w:val="22"/>
  </w:num>
  <w:num w:numId="6">
    <w:abstractNumId w:val="46"/>
  </w:num>
  <w:num w:numId="7">
    <w:abstractNumId w:val="59"/>
  </w:num>
  <w:num w:numId="8">
    <w:abstractNumId w:val="58"/>
  </w:num>
  <w:num w:numId="9">
    <w:abstractNumId w:val="75"/>
  </w:num>
  <w:num w:numId="10">
    <w:abstractNumId w:val="65"/>
  </w:num>
  <w:num w:numId="11">
    <w:abstractNumId w:val="27"/>
  </w:num>
  <w:num w:numId="12">
    <w:abstractNumId w:val="24"/>
  </w:num>
  <w:num w:numId="13">
    <w:abstractNumId w:val="11"/>
  </w:num>
  <w:num w:numId="14">
    <w:abstractNumId w:val="35"/>
  </w:num>
  <w:num w:numId="15">
    <w:abstractNumId w:val="6"/>
  </w:num>
  <w:num w:numId="16">
    <w:abstractNumId w:val="62"/>
  </w:num>
  <w:num w:numId="17">
    <w:abstractNumId w:val="5"/>
  </w:num>
  <w:num w:numId="18">
    <w:abstractNumId w:val="50"/>
  </w:num>
  <w:num w:numId="19">
    <w:abstractNumId w:val="77"/>
  </w:num>
  <w:num w:numId="20">
    <w:abstractNumId w:val="61"/>
  </w:num>
  <w:num w:numId="21">
    <w:abstractNumId w:val="25"/>
  </w:num>
  <w:num w:numId="22">
    <w:abstractNumId w:val="12"/>
  </w:num>
  <w:num w:numId="23">
    <w:abstractNumId w:val="78"/>
  </w:num>
  <w:num w:numId="24">
    <w:abstractNumId w:val="0"/>
  </w:num>
  <w:num w:numId="25">
    <w:abstractNumId w:val="1"/>
  </w:num>
  <w:num w:numId="26">
    <w:abstractNumId w:val="2"/>
  </w:num>
  <w:num w:numId="27">
    <w:abstractNumId w:val="4"/>
  </w:num>
  <w:num w:numId="28">
    <w:abstractNumId w:val="57"/>
  </w:num>
  <w:num w:numId="29">
    <w:abstractNumId w:val="16"/>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8"/>
  </w:num>
  <w:num w:numId="34">
    <w:abstractNumId w:val="10"/>
  </w:num>
  <w:num w:numId="35">
    <w:abstractNumId w:val="73"/>
  </w:num>
  <w:num w:numId="36">
    <w:abstractNumId w:val="29"/>
  </w:num>
  <w:num w:numId="37">
    <w:abstractNumId w:val="31"/>
  </w:num>
  <w:num w:numId="38">
    <w:abstractNumId w:val="72"/>
  </w:num>
  <w:num w:numId="39">
    <w:abstractNumId w:val="63"/>
  </w:num>
  <w:num w:numId="40">
    <w:abstractNumId w:val="43"/>
  </w:num>
  <w:num w:numId="41">
    <w:abstractNumId w:val="41"/>
  </w:num>
  <w:num w:numId="42">
    <w:abstractNumId w:val="60"/>
  </w:num>
  <w:num w:numId="43">
    <w:abstractNumId w:val="48"/>
  </w:num>
  <w:num w:numId="44">
    <w:abstractNumId w:val="47"/>
  </w:num>
  <w:num w:numId="45">
    <w:abstractNumId w:val="9"/>
  </w:num>
  <w:num w:numId="46">
    <w:abstractNumId w:val="51"/>
  </w:num>
  <w:num w:numId="47">
    <w:abstractNumId w:val="34"/>
  </w:num>
  <w:num w:numId="48">
    <w:abstractNumId w:val="52"/>
  </w:num>
  <w:num w:numId="49">
    <w:abstractNumId w:val="21"/>
  </w:num>
  <w:num w:numId="50">
    <w:abstractNumId w:val="23"/>
  </w:num>
  <w:num w:numId="51">
    <w:abstractNumId w:val="68"/>
  </w:num>
  <w:num w:numId="52">
    <w:abstractNumId w:val="33"/>
  </w:num>
  <w:num w:numId="53">
    <w:abstractNumId w:val="37"/>
  </w:num>
  <w:num w:numId="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30"/>
  </w:num>
  <w:num w:numId="57">
    <w:abstractNumId w:val="17"/>
  </w:num>
  <w:num w:numId="58">
    <w:abstractNumId w:val="36"/>
  </w:num>
  <w:num w:numId="59">
    <w:abstractNumId w:val="70"/>
  </w:num>
  <w:num w:numId="60">
    <w:abstractNumId w:val="13"/>
  </w:num>
  <w:num w:numId="61">
    <w:abstractNumId w:val="44"/>
  </w:num>
  <w:num w:numId="62">
    <w:abstractNumId w:val="20"/>
  </w:num>
  <w:num w:numId="63">
    <w:abstractNumId w:val="38"/>
  </w:num>
  <w:num w:numId="64">
    <w:abstractNumId w:val="67"/>
  </w:num>
  <w:num w:numId="65">
    <w:abstractNumId w:val="55"/>
  </w:num>
  <w:num w:numId="66">
    <w:abstractNumId w:val="53"/>
  </w:num>
  <w:num w:numId="67">
    <w:abstractNumId w:val="56"/>
  </w:num>
  <w:num w:numId="68">
    <w:abstractNumId w:val="42"/>
  </w:num>
  <w:num w:numId="69">
    <w:abstractNumId w:val="76"/>
  </w:num>
  <w:num w:numId="70">
    <w:abstractNumId w:val="69"/>
  </w:num>
  <w:num w:numId="71">
    <w:abstractNumId w:val="32"/>
  </w:num>
  <w:num w:numId="72">
    <w:abstractNumId w:val="45"/>
  </w:num>
  <w:num w:numId="73">
    <w:abstractNumId w:val="7"/>
  </w:num>
  <w:num w:numId="74">
    <w:abstractNumId w:val="28"/>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66"/>
  </w:num>
  <w:num w:numId="78">
    <w:abstractNumId w:val="15"/>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421E"/>
    <w:rsid w:val="00057BDD"/>
    <w:rsid w:val="000674E9"/>
    <w:rsid w:val="000676F8"/>
    <w:rsid w:val="00073E70"/>
    <w:rsid w:val="00075E8E"/>
    <w:rsid w:val="000821C9"/>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1602"/>
    <w:rsid w:val="00153DAA"/>
    <w:rsid w:val="001541DA"/>
    <w:rsid w:val="00167B8C"/>
    <w:rsid w:val="00175BC6"/>
    <w:rsid w:val="00187B69"/>
    <w:rsid w:val="00190BD0"/>
    <w:rsid w:val="001B0866"/>
    <w:rsid w:val="001B13FB"/>
    <w:rsid w:val="001B3784"/>
    <w:rsid w:val="001C59ED"/>
    <w:rsid w:val="001D0872"/>
    <w:rsid w:val="001D2729"/>
    <w:rsid w:val="001D6ED0"/>
    <w:rsid w:val="001D7E94"/>
    <w:rsid w:val="001F2413"/>
    <w:rsid w:val="001F4DE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5450D"/>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18A8"/>
    <w:rsid w:val="003E28C4"/>
    <w:rsid w:val="003E79AF"/>
    <w:rsid w:val="003F127B"/>
    <w:rsid w:val="003F499F"/>
    <w:rsid w:val="004022C6"/>
    <w:rsid w:val="00406F96"/>
    <w:rsid w:val="00414CC3"/>
    <w:rsid w:val="00415FB7"/>
    <w:rsid w:val="004222DD"/>
    <w:rsid w:val="00423C62"/>
    <w:rsid w:val="004261EF"/>
    <w:rsid w:val="00434B96"/>
    <w:rsid w:val="00440750"/>
    <w:rsid w:val="00447BC2"/>
    <w:rsid w:val="004512A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00D7"/>
    <w:rsid w:val="0051195B"/>
    <w:rsid w:val="00515E61"/>
    <w:rsid w:val="00520415"/>
    <w:rsid w:val="00520464"/>
    <w:rsid w:val="0052377C"/>
    <w:rsid w:val="00527480"/>
    <w:rsid w:val="00530E1B"/>
    <w:rsid w:val="00535E3D"/>
    <w:rsid w:val="005410BC"/>
    <w:rsid w:val="0054183C"/>
    <w:rsid w:val="0054519B"/>
    <w:rsid w:val="00546739"/>
    <w:rsid w:val="00562B23"/>
    <w:rsid w:val="005809C4"/>
    <w:rsid w:val="00580ACF"/>
    <w:rsid w:val="00582DB8"/>
    <w:rsid w:val="00586C0F"/>
    <w:rsid w:val="005878FC"/>
    <w:rsid w:val="00593391"/>
    <w:rsid w:val="005A2C64"/>
    <w:rsid w:val="005A5A42"/>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07A1"/>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33FF"/>
    <w:rsid w:val="008F41ED"/>
    <w:rsid w:val="00900BF6"/>
    <w:rsid w:val="0091635A"/>
    <w:rsid w:val="00917BC9"/>
    <w:rsid w:val="0092257D"/>
    <w:rsid w:val="00927462"/>
    <w:rsid w:val="009354CF"/>
    <w:rsid w:val="009358D0"/>
    <w:rsid w:val="00946DEF"/>
    <w:rsid w:val="0095456F"/>
    <w:rsid w:val="00956E71"/>
    <w:rsid w:val="009572C0"/>
    <w:rsid w:val="0096058A"/>
    <w:rsid w:val="00960A78"/>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C70"/>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55D1"/>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852B6"/>
    <w:rsid w:val="00B94759"/>
    <w:rsid w:val="00B95585"/>
    <w:rsid w:val="00B96FDC"/>
    <w:rsid w:val="00B9702A"/>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27F3B"/>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B7793"/>
    <w:rsid w:val="00CC340E"/>
    <w:rsid w:val="00CE1CC4"/>
    <w:rsid w:val="00CE5588"/>
    <w:rsid w:val="00CE5A91"/>
    <w:rsid w:val="00CE6824"/>
    <w:rsid w:val="00CF43FC"/>
    <w:rsid w:val="00CF4BD4"/>
    <w:rsid w:val="00CF7F61"/>
    <w:rsid w:val="00D04DF4"/>
    <w:rsid w:val="00D123E4"/>
    <w:rsid w:val="00D151AF"/>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1871"/>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45694925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639602868">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14712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1EA8-7F5F-47B6-8E7D-754525D1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5739</TotalTime>
  <Pages>1</Pages>
  <Words>7311</Words>
  <Characters>43869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329</cp:revision>
  <cp:lastPrinted>2021-09-23T09:56:00Z</cp:lastPrinted>
  <dcterms:created xsi:type="dcterms:W3CDTF">2019-12-05T13:53:00Z</dcterms:created>
  <dcterms:modified xsi:type="dcterms:W3CDTF">2021-09-29T07:11:00Z</dcterms:modified>
</cp:coreProperties>
</file>