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Dostawa produktów leczniczych – 3 pakiety</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TP/2</w:t>
      </w:r>
      <w:r w:rsidR="007A4C18">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bookmarkStart w:id="0" w:name="_GoBack"/>
      <w:bookmarkEnd w:id="0"/>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761A84">
        <w:rPr>
          <w:rFonts w:ascii="Arial" w:eastAsia="Arial" w:hAnsi="Arial"/>
          <w:kern w:val="0"/>
          <w:szCs w:val="20"/>
          <w:lang w:eastAsia="pl-PL" w:bidi="ar-SA"/>
        </w:rPr>
        <w:t>01.04.</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A10099" w:rsidRDefault="007A4C18" w:rsidP="007A4C18">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produktów leczniczych – </w:t>
      </w:r>
      <w:r>
        <w:rPr>
          <w:rFonts w:ascii="Arial" w:eastAsiaTheme="minorEastAsia" w:hAnsi="Arial" w:cs="Arial"/>
          <w:sz w:val="22"/>
          <w:szCs w:val="22"/>
          <w:lang w:eastAsia="pl-PL"/>
        </w:rPr>
        <w:t>3</w:t>
      </w:r>
      <w:r w:rsidRPr="00A10099">
        <w:rPr>
          <w:rFonts w:ascii="Arial" w:eastAsiaTheme="minorEastAsia" w:hAnsi="Arial" w:cs="Arial"/>
          <w:sz w:val="22"/>
          <w:szCs w:val="22"/>
          <w:lang w:eastAsia="pl-PL"/>
        </w:rPr>
        <w:t xml:space="preserve"> pakiety,</w:t>
      </w:r>
      <w:r w:rsidRPr="00A10099">
        <w:rPr>
          <w:rFonts w:ascii="Arial" w:hAnsi="Arial" w:cs="Arial"/>
          <w:sz w:val="22"/>
          <w:szCs w:val="22"/>
        </w:rPr>
        <w:t xml:space="preserve"> 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7A4C18" w:rsidRPr="007A4C18" w:rsidRDefault="007A4C18" w:rsidP="007A4C18">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proofErr w:type="spellStart"/>
      <w:r w:rsidRPr="007A4C18">
        <w:rPr>
          <w:rFonts w:ascii="Arial" w:hAnsi="Arial" w:cs="Arial"/>
          <w:sz w:val="22"/>
          <w:szCs w:val="22"/>
        </w:rPr>
        <w:t>Atracurri</w:t>
      </w:r>
      <w:proofErr w:type="spellEnd"/>
      <w:r w:rsidRPr="007A4C18">
        <w:rPr>
          <w:rFonts w:ascii="Arial" w:hAnsi="Arial" w:cs="Arial"/>
          <w:sz w:val="22"/>
          <w:szCs w:val="22"/>
        </w:rPr>
        <w:t xml:space="preserve"> </w:t>
      </w:r>
      <w:proofErr w:type="spellStart"/>
      <w:r w:rsidRPr="007A4C18">
        <w:rPr>
          <w:rFonts w:ascii="Arial" w:hAnsi="Arial" w:cs="Arial"/>
          <w:sz w:val="22"/>
          <w:szCs w:val="22"/>
        </w:rPr>
        <w:t>besilas</w:t>
      </w:r>
      <w:proofErr w:type="spellEnd"/>
      <w:r w:rsidRPr="007A4C18">
        <w:rPr>
          <w:rFonts w:ascii="Arial" w:hAnsi="Arial" w:cs="Arial"/>
          <w:sz w:val="22"/>
          <w:szCs w:val="22"/>
        </w:rPr>
        <w:t>...</w:t>
      </w:r>
    </w:p>
    <w:p w:rsidR="007A4C18" w:rsidRPr="007A4C18" w:rsidRDefault="007A4C18" w:rsidP="007A4C18">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2 – </w:t>
      </w:r>
      <w:proofErr w:type="spellStart"/>
      <w:r>
        <w:rPr>
          <w:rFonts w:ascii="Arial" w:hAnsi="Arial" w:cs="Arial"/>
          <w:sz w:val="22"/>
          <w:szCs w:val="22"/>
        </w:rPr>
        <w:t>Bupivacainum</w:t>
      </w:r>
      <w:proofErr w:type="spellEnd"/>
      <w:r>
        <w:rPr>
          <w:rFonts w:ascii="Arial" w:hAnsi="Arial" w:cs="Arial"/>
          <w:sz w:val="22"/>
          <w:szCs w:val="22"/>
        </w:rPr>
        <w:t xml:space="preserve"> …</w:t>
      </w:r>
    </w:p>
    <w:p w:rsidR="007A4C18" w:rsidRPr="007A4C18" w:rsidRDefault="007A4C18" w:rsidP="009C6218">
      <w:pPr>
        <w:pStyle w:val="Akapitzlist"/>
        <w:spacing w:line="276" w:lineRule="auto"/>
        <w:ind w:left="425"/>
        <w:jc w:val="both"/>
        <w:rPr>
          <w:rFonts w:ascii="Arial" w:hAnsi="Arial"/>
          <w:sz w:val="22"/>
          <w:szCs w:val="22"/>
        </w:rPr>
      </w:pPr>
      <w:r w:rsidRPr="007A4C18">
        <w:rPr>
          <w:rFonts w:ascii="Arial" w:hAnsi="Arial"/>
          <w:sz w:val="22"/>
          <w:szCs w:val="22"/>
        </w:rPr>
        <w:t xml:space="preserve">Pakiet nr 3 – </w:t>
      </w:r>
      <w:proofErr w:type="spellStart"/>
      <w:r>
        <w:rPr>
          <w:rFonts w:ascii="Arial" w:hAnsi="Arial"/>
          <w:sz w:val="22"/>
          <w:szCs w:val="22"/>
        </w:rPr>
        <w:t>Cisatracurium</w:t>
      </w:r>
      <w:proofErr w:type="spellEnd"/>
      <w:r>
        <w:rPr>
          <w:rFonts w:ascii="Arial" w:hAnsi="Arial"/>
          <w:sz w:val="22"/>
          <w:szCs w:val="22"/>
        </w:rPr>
        <w:t xml:space="preserve"> .</w:t>
      </w:r>
      <w:r w:rsidRPr="007A4C18">
        <w:rPr>
          <w:rFonts w:ascii="Arial" w:hAnsi="Arial"/>
          <w:sz w:val="22"/>
          <w:szCs w:val="22"/>
        </w:rPr>
        <w:t>..</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7A4C18" w:rsidRPr="00A10099" w:rsidRDefault="007A4C18" w:rsidP="007A4C18">
      <w:pPr>
        <w:pStyle w:val="Akapitzlist"/>
        <w:widowControl w:val="0"/>
        <w:spacing w:line="276" w:lineRule="auto"/>
        <w:ind w:left="426"/>
        <w:jc w:val="both"/>
        <w:rPr>
          <w:rFonts w:ascii="Arial" w:hAnsi="Arial" w:cs="Arial"/>
          <w:bCs/>
          <w:iCs/>
          <w:color w:val="000000"/>
          <w:sz w:val="22"/>
          <w:szCs w:val="22"/>
        </w:rPr>
      </w:pPr>
      <w:r w:rsidRPr="00A10099">
        <w:rPr>
          <w:rFonts w:ascii="Arial" w:hAnsi="Arial" w:cs="Arial"/>
          <w:sz w:val="22"/>
          <w:szCs w:val="22"/>
        </w:rPr>
        <w:t xml:space="preserve">33600000-6 </w:t>
      </w:r>
      <w:r>
        <w:rPr>
          <w:rFonts w:ascii="Arial" w:hAnsi="Arial" w:cs="Arial"/>
          <w:sz w:val="22"/>
          <w:szCs w:val="22"/>
        </w:rPr>
        <w:t>P</w:t>
      </w:r>
      <w:r w:rsidRPr="00A10099">
        <w:rPr>
          <w:rFonts w:ascii="Arial" w:hAnsi="Arial" w:cs="Arial"/>
          <w:sz w:val="22"/>
          <w:szCs w:val="22"/>
        </w:rPr>
        <w:t>rodukty farmaceutyczne</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lastRenderedPageBreak/>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9C6218">
      <w:pPr>
        <w:pStyle w:val="Akapitzlist"/>
        <w:numPr>
          <w:ilvl w:val="0"/>
          <w:numId w:val="36"/>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7A4C18" w:rsidRPr="007A4C18">
        <w:rPr>
          <w:rFonts w:ascii="Arial" w:eastAsia="Arial" w:hAnsi="Arial" w:cs="Arial"/>
          <w:sz w:val="22"/>
          <w:szCs w:val="22"/>
          <w:lang w:eastAsia="pl-PL"/>
        </w:rPr>
        <w:t>od daty zawarcia umowy do 10.01.2022 r.</w:t>
      </w:r>
    </w:p>
    <w:p w:rsidR="00C26058" w:rsidRPr="007363C1" w:rsidRDefault="00502A16" w:rsidP="009C6218">
      <w:pPr>
        <w:pStyle w:val="Akapitzlist"/>
        <w:numPr>
          <w:ilvl w:val="0"/>
          <w:numId w:val="36"/>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w:t>
      </w:r>
      <w:r w:rsidRPr="00805B05">
        <w:rPr>
          <w:rFonts w:ascii="Arial" w:hAnsi="Arial" w:cs="Arial"/>
          <w:color w:val="000000"/>
          <w:kern w:val="0"/>
          <w:sz w:val="22"/>
          <w:szCs w:val="22"/>
          <w:lang w:eastAsia="pl-PL"/>
        </w:rPr>
        <w:lastRenderedPageBreak/>
        <w:t xml:space="preserve">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7A4C18" w:rsidRPr="008E6A2B"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określa </w:t>
      </w:r>
      <w:r w:rsidRPr="00A059A8">
        <w:rPr>
          <w:rFonts w:ascii="Arial" w:eastAsia="Arial" w:hAnsi="Arial"/>
          <w:b/>
          <w:kern w:val="0"/>
          <w:sz w:val="22"/>
          <w:szCs w:val="22"/>
          <w:lang w:eastAsia="pl-PL" w:bidi="ar-SA"/>
        </w:rPr>
        <w:t>warunk</w:t>
      </w:r>
      <w:r w:rsidR="007A4C18">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sidR="008E6A2B">
        <w:rPr>
          <w:rFonts w:ascii="Arial" w:eastAsia="Arial" w:hAnsi="Arial"/>
          <w:b/>
          <w:kern w:val="0"/>
          <w:sz w:val="22"/>
          <w:szCs w:val="22"/>
          <w:lang w:eastAsia="pl-PL" w:bidi="ar-SA"/>
        </w:rPr>
        <w:t xml:space="preserve"> </w:t>
      </w:r>
      <w:r w:rsidR="008E6A2B" w:rsidRPr="008E6A2B">
        <w:rPr>
          <w:rFonts w:ascii="Arial" w:eastAsia="Arial" w:hAnsi="Arial"/>
          <w:kern w:val="0"/>
          <w:sz w:val="22"/>
          <w:szCs w:val="22"/>
          <w:lang w:eastAsia="pl-PL" w:bidi="ar-SA"/>
        </w:rPr>
        <w:t xml:space="preserve">w zakresie uprawnień do prowadzenia </w:t>
      </w:r>
      <w:r w:rsidR="00267F99">
        <w:rPr>
          <w:rFonts w:ascii="Arial" w:eastAsia="Arial" w:hAnsi="Arial"/>
          <w:kern w:val="0"/>
          <w:sz w:val="22"/>
          <w:szCs w:val="22"/>
          <w:lang w:eastAsia="pl-PL" w:bidi="ar-SA"/>
        </w:rPr>
        <w:br/>
      </w:r>
      <w:r w:rsidR="008E6A2B" w:rsidRPr="008E6A2B">
        <w:rPr>
          <w:rFonts w:ascii="Arial" w:eastAsia="Arial" w:hAnsi="Arial"/>
          <w:kern w:val="0"/>
          <w:sz w:val="22"/>
          <w:szCs w:val="22"/>
          <w:lang w:eastAsia="pl-PL" w:bidi="ar-SA"/>
        </w:rPr>
        <w:t>określonej działalności gospodarczej lub zawodowej, o ile wynika to z odrębnych przepisów</w:t>
      </w:r>
      <w:r w:rsidR="007A4C18" w:rsidRPr="008E6A2B">
        <w:rPr>
          <w:rFonts w:ascii="Arial" w:eastAsia="Arial" w:hAnsi="Arial"/>
          <w:kern w:val="0"/>
          <w:sz w:val="22"/>
          <w:szCs w:val="22"/>
          <w:lang w:eastAsia="pl-PL" w:bidi="ar-SA"/>
        </w:rPr>
        <w:t>:</w:t>
      </w:r>
    </w:p>
    <w:p w:rsidR="00C00558" w:rsidRPr="00267F99" w:rsidRDefault="007A4C18" w:rsidP="009C6218">
      <w:pPr>
        <w:spacing w:before="120" w:after="120" w:line="276" w:lineRule="auto"/>
        <w:ind w:left="425"/>
        <w:jc w:val="both"/>
        <w:rPr>
          <w:rFonts w:ascii="Arial" w:hAnsi="Arial"/>
          <w:i/>
          <w:sz w:val="22"/>
          <w:szCs w:val="22"/>
        </w:rPr>
      </w:pPr>
      <w:r w:rsidRPr="008E6A2B">
        <w:rPr>
          <w:rFonts w:ascii="Arial" w:hAnsi="Arial"/>
          <w:i/>
          <w:sz w:val="22"/>
          <w:szCs w:val="22"/>
        </w:rPr>
        <w:t>Zamawiający wymaga, by Wykonawca posiadał ważną koncesję Głównego Inspektora Farmaceutycznego na prowadzenie hurtowni farmaceutycznej</w:t>
      </w:r>
      <w:r w:rsidRPr="008E6A2B">
        <w:rPr>
          <w:rFonts w:ascii="Arial" w:eastAsia="Arial" w:hAnsi="Arial"/>
          <w:i/>
          <w:sz w:val="22"/>
          <w:szCs w:val="22"/>
          <w:lang w:eastAsia="pl-PL"/>
        </w:rPr>
        <w:t>.</w:t>
      </w:r>
      <w:r w:rsidRPr="008E6A2B">
        <w:rPr>
          <w:rFonts w:ascii="Arial" w:hAnsi="Arial"/>
          <w:b/>
          <w:i/>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9C6218"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p w:rsidR="009C6218" w:rsidRDefault="009C6218" w:rsidP="009C6218">
      <w:pPr>
        <w:pStyle w:val="Akapitzlist"/>
        <w:tabs>
          <w:tab w:val="left" w:pos="420"/>
        </w:tabs>
        <w:suppressAutoHyphens w:val="0"/>
        <w:autoSpaceDE w:val="0"/>
        <w:autoSpaceDN/>
        <w:adjustRightInd w:val="0"/>
        <w:spacing w:after="120" w:line="276" w:lineRule="auto"/>
        <w:ind w:left="425"/>
        <w:jc w:val="both"/>
        <w:textAlignment w:val="auto"/>
        <w:rPr>
          <w:rFonts w:ascii="Arial" w:eastAsia="CIDFont+F6" w:hAnsi="Arial"/>
          <w:kern w:val="0"/>
          <w:sz w:val="22"/>
          <w:szCs w:val="22"/>
          <w:lang w:eastAsia="pl-PL"/>
        </w:rPr>
      </w:pPr>
    </w:p>
    <w:p w:rsidR="009C6218" w:rsidRPr="00200146" w:rsidRDefault="009C6218" w:rsidP="009C621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lastRenderedPageBreak/>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w:t>
      </w:r>
      <w:proofErr w:type="spellStart"/>
      <w:r>
        <w:rPr>
          <w:rFonts w:ascii="Arial" w:hAnsi="Arial"/>
          <w:color w:val="000000"/>
          <w:kern w:val="0"/>
          <w:lang w:eastAsia="pl-PL"/>
        </w:rPr>
        <w:t>Irzwikowska</w:t>
      </w:r>
      <w:proofErr w:type="spellEnd"/>
      <w:r>
        <w:rPr>
          <w:rFonts w:ascii="Arial" w:hAnsi="Arial"/>
          <w:color w:val="000000"/>
          <w:kern w:val="0"/>
          <w:lang w:eastAsia="pl-PL"/>
        </w:rPr>
        <w:t xml:space="preserve">, </w:t>
      </w:r>
      <w:r w:rsidRPr="00A830A8">
        <w:rPr>
          <w:rFonts w:ascii="Arial" w:hAnsi="Arial" w:cs="Arial"/>
          <w:color w:val="000000"/>
          <w:kern w:val="0"/>
          <w:lang w:eastAsia="pl-PL"/>
        </w:rPr>
        <w:t xml:space="preserve">tel. </w:t>
      </w:r>
      <w:r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0A6DE6">
        <w:rPr>
          <w:rFonts w:ascii="Arial" w:eastAsia="CIDFont+F6" w:hAnsi="Arial"/>
          <w:kern w:val="0"/>
          <w:sz w:val="22"/>
          <w:szCs w:val="22"/>
          <w:highlight w:val="yellow"/>
          <w:lang w:eastAsia="pl-PL"/>
        </w:rPr>
        <w:t>07.05</w:t>
      </w:r>
      <w:r w:rsidRPr="005809C4">
        <w:rPr>
          <w:rFonts w:ascii="Arial" w:eastAsia="CIDFont+F6" w:hAnsi="Arial"/>
          <w:kern w:val="0"/>
          <w:sz w:val="22"/>
          <w:szCs w:val="22"/>
          <w:highlight w:val="yellow"/>
          <w:lang w:eastAsia="pl-PL"/>
        </w:rPr>
        <w:t>.2021</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podpisem </w:t>
      </w:r>
      <w:r w:rsidRPr="00E44E73">
        <w:rPr>
          <w:rFonts w:ascii="Arial" w:eastAsia="CIDFont+F6" w:hAnsi="Arial"/>
          <w:color w:val="000000"/>
          <w:kern w:val="0"/>
          <w:sz w:val="22"/>
          <w:szCs w:val="22"/>
          <w:lang w:eastAsia="pl-PL" w:bidi="ar-SA"/>
        </w:rPr>
        <w:lastRenderedPageBreak/>
        <w:t>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7813A0" w:rsidRPr="007813A0" w:rsidRDefault="007813A0" w:rsidP="007813A0">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sz w:val="22"/>
          <w:szCs w:val="22"/>
          <w:lang w:eastAsia="pl-PL"/>
        </w:rPr>
        <w:t>Formularz asortymentowo-cenowy – załącznik nr 2 do SWZ;</w:t>
      </w:r>
    </w:p>
    <w:p w:rsidR="005C6769" w:rsidRPr="005C6769" w:rsidRDefault="005C6769" w:rsidP="005C6769">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55115E">
        <w:rPr>
          <w:rFonts w:ascii="Arial" w:eastAsia="SimSun" w:hAnsi="Arial" w:cs="Arial"/>
          <w:sz w:val="22"/>
          <w:szCs w:val="22"/>
        </w:rPr>
        <w:t xml:space="preserve">Oświadczenie Wykonawcy, </w:t>
      </w:r>
      <w:r w:rsidRPr="0055115E">
        <w:rPr>
          <w:rFonts w:ascii="Arial" w:hAnsi="Arial" w:cs="Arial"/>
          <w:sz w:val="22"/>
          <w:szCs w:val="22"/>
          <w:lang w:eastAsia="pl-PL"/>
        </w:rPr>
        <w:t xml:space="preserve">że zaoferowane produkty lecznicze są dopuszczone do obrotu zgodnie z ustawą Prawo farmaceutyczne (tj. Dz. U. z 2019 r. poz. 499 ze zm.) wraz </w:t>
      </w:r>
      <w:r w:rsidR="009C6218">
        <w:rPr>
          <w:rFonts w:ascii="Arial" w:hAnsi="Arial" w:cs="Arial"/>
          <w:sz w:val="22"/>
          <w:szCs w:val="22"/>
          <w:lang w:eastAsia="pl-PL"/>
        </w:rPr>
        <w:br/>
      </w:r>
      <w:r w:rsidRPr="0055115E">
        <w:rPr>
          <w:rFonts w:ascii="Arial" w:hAnsi="Arial" w:cs="Arial"/>
          <w:sz w:val="22"/>
          <w:szCs w:val="22"/>
          <w:lang w:eastAsia="pl-PL"/>
        </w:rPr>
        <w:t xml:space="preserve">z zobowiązaniem się Wykonawcy do okazania dokumentu pozwolenia na wyraźne żądanie </w:t>
      </w:r>
      <w:r>
        <w:rPr>
          <w:rFonts w:ascii="Arial" w:hAnsi="Arial" w:cs="Arial"/>
          <w:sz w:val="22"/>
          <w:szCs w:val="22"/>
          <w:lang w:eastAsia="pl-PL"/>
        </w:rPr>
        <w:br/>
      </w:r>
      <w:r w:rsidRPr="0055115E">
        <w:rPr>
          <w:rFonts w:ascii="Arial" w:hAnsi="Arial" w:cs="Arial"/>
          <w:sz w:val="22"/>
          <w:szCs w:val="22"/>
          <w:lang w:eastAsia="pl-PL"/>
        </w:rPr>
        <w:t>Zamawiającego</w:t>
      </w:r>
      <w:r>
        <w:rPr>
          <w:rFonts w:ascii="Arial" w:hAnsi="Arial" w:cs="Arial"/>
          <w:sz w:val="22"/>
          <w:szCs w:val="22"/>
          <w:lang w:eastAsia="pl-PL"/>
        </w:rPr>
        <w:t>;</w:t>
      </w:r>
    </w:p>
    <w:p w:rsidR="005C6769" w:rsidRDefault="005C6769" w:rsidP="005C6769">
      <w:pPr>
        <w:pStyle w:val="Akapitzlist"/>
        <w:numPr>
          <w:ilvl w:val="0"/>
          <w:numId w:val="73"/>
        </w:numPr>
        <w:suppressAutoHyphens w:val="0"/>
        <w:spacing w:line="276" w:lineRule="auto"/>
        <w:contextualSpacing/>
        <w:jc w:val="both"/>
        <w:rPr>
          <w:rFonts w:ascii="Arial" w:hAnsi="Arial" w:cs="Arial"/>
          <w:sz w:val="22"/>
          <w:szCs w:val="22"/>
          <w:lang w:eastAsia="pl-PL"/>
        </w:rPr>
      </w:pPr>
      <w:r w:rsidRPr="0055115E">
        <w:rPr>
          <w:rFonts w:ascii="Arial" w:eastAsia="SimSun" w:hAnsi="Arial" w:cs="Arial"/>
          <w:sz w:val="22"/>
          <w:szCs w:val="22"/>
        </w:rPr>
        <w:t xml:space="preserve">Oświadczenie Wykonawcy, że zaoferowany produkt posiada kartę charakterystyki produktu leczniczego potwierdzającą wymogi określone przez Zamawiającego a ponadto, że Wykonawca jest gotowy w każdej chwili na żądanie Zamawiającego potwierdzić to poprzez przesłanie </w:t>
      </w:r>
      <w:r>
        <w:rPr>
          <w:rFonts w:ascii="Arial" w:eastAsia="SimSun" w:hAnsi="Arial" w:cs="Arial"/>
          <w:sz w:val="22"/>
          <w:szCs w:val="22"/>
        </w:rPr>
        <w:br/>
      </w:r>
      <w:r w:rsidRPr="0055115E">
        <w:rPr>
          <w:rFonts w:ascii="Arial" w:eastAsia="SimSun" w:hAnsi="Arial" w:cs="Arial"/>
          <w:sz w:val="22"/>
          <w:szCs w:val="22"/>
        </w:rPr>
        <w:t>odpowiedniej dokumentacji</w:t>
      </w:r>
      <w:r w:rsidRPr="0055115E">
        <w:rPr>
          <w:rFonts w:ascii="Arial" w:hAnsi="Arial" w:cs="Arial"/>
          <w:sz w:val="22"/>
          <w:szCs w:val="22"/>
          <w:lang w:eastAsia="pl-PL"/>
        </w:rPr>
        <w:t>;</w:t>
      </w:r>
    </w:p>
    <w:p w:rsidR="00E44E73" w:rsidRPr="003D14BE" w:rsidRDefault="005C6769" w:rsidP="005C6769">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FB49C7">
        <w:rPr>
          <w:rFonts w:ascii="Arial" w:eastAsia="SimSun" w:hAnsi="Arial" w:cs="Arial"/>
          <w:sz w:val="22"/>
          <w:szCs w:val="22"/>
        </w:rPr>
        <w:t xml:space="preserve">Oświadczenie Wykonawcy, że produkt leczniczy posiada tymczasowe dopuszczenie do obrotu wydane przez Ministra Zdrowia a ponadto, że Wykonawca jest gotowy w każdej chwili na </w:t>
      </w:r>
      <w:r>
        <w:rPr>
          <w:rFonts w:ascii="Arial" w:eastAsia="SimSun" w:hAnsi="Arial" w:cs="Arial"/>
          <w:sz w:val="22"/>
          <w:szCs w:val="22"/>
        </w:rPr>
        <w:br/>
      </w:r>
      <w:r w:rsidRPr="00FB49C7">
        <w:rPr>
          <w:rFonts w:ascii="Arial" w:eastAsia="SimSun" w:hAnsi="Arial" w:cs="Arial"/>
          <w:sz w:val="22"/>
          <w:szCs w:val="22"/>
        </w:rPr>
        <w:t>żądanie Zamawiającego potwierdzić to poprzez przesłanie kopii odpowiedniej dokumentacji</w:t>
      </w:r>
      <w:r>
        <w:rPr>
          <w:rFonts w:ascii="Arial" w:eastAsia="SimSun" w:hAnsi="Arial" w:cs="Arial"/>
          <w:sz w:val="22"/>
          <w:szCs w:val="22"/>
        </w:rPr>
        <w:t xml:space="preserve"> </w:t>
      </w:r>
      <w:r>
        <w:rPr>
          <w:rFonts w:ascii="Arial" w:eastAsia="SimSun" w:hAnsi="Arial" w:cs="Arial"/>
          <w:sz w:val="22"/>
          <w:szCs w:val="22"/>
        </w:rPr>
        <w:br/>
      </w:r>
      <w:r w:rsidRPr="00FB49C7">
        <w:rPr>
          <w:rFonts w:ascii="Arial" w:eastAsia="SimSun" w:hAnsi="Arial" w:cs="Arial"/>
          <w:sz w:val="22"/>
          <w:szCs w:val="22"/>
        </w:rPr>
        <w:t>(jeżeli dotyczy)</w:t>
      </w:r>
      <w:r>
        <w:rPr>
          <w:rFonts w:ascii="Arial" w:eastAsia="CIDFont+F6" w:hAnsi="Arial"/>
          <w:color w:val="000000"/>
          <w:kern w:val="0"/>
          <w:sz w:val="22"/>
          <w:szCs w:val="22"/>
          <w:lang w:eastAsia="pl-PL"/>
        </w:rPr>
        <w:t>.</w:t>
      </w:r>
    </w:p>
    <w:p w:rsidR="00143632"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A6DE6">
        <w:rPr>
          <w:rFonts w:ascii="Arial" w:eastAsia="Arial" w:hAnsi="Arial"/>
          <w:b/>
          <w:kern w:val="0"/>
          <w:sz w:val="22"/>
          <w:szCs w:val="20"/>
          <w:highlight w:val="yellow"/>
          <w:lang w:eastAsia="pl-PL" w:bidi="ar-SA"/>
        </w:rPr>
        <w:t>09.04</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0A6DE6">
        <w:rPr>
          <w:rFonts w:ascii="Arial" w:eastAsia="Arial" w:hAnsi="Arial"/>
          <w:b/>
          <w:kern w:val="0"/>
          <w:sz w:val="22"/>
          <w:szCs w:val="20"/>
          <w:highlight w:val="yellow"/>
          <w:lang w:eastAsia="pl-PL"/>
        </w:rPr>
        <w:t>09.04.</w:t>
      </w:r>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lastRenderedPageBreak/>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C – Termin dostawy „na cito” – 10 %</w:t>
      </w:r>
    </w:p>
    <w:p w:rsidR="00651407" w:rsidRPr="0055115E" w:rsidRDefault="00651407" w:rsidP="009C6218">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D – Termin wymiany w przypadku reklamacji </w:t>
      </w:r>
      <w:r w:rsidRPr="0055115E">
        <w:rPr>
          <w:rFonts w:ascii="Arial" w:eastAsia="Times New Roman" w:hAnsi="Arial"/>
          <w:b/>
          <w:sz w:val="22"/>
          <w:szCs w:val="22"/>
          <w:lang w:val="x-none" w:eastAsia="x-none"/>
        </w:rPr>
        <w:t xml:space="preserve">– </w:t>
      </w:r>
      <w:r w:rsidRPr="0055115E">
        <w:rPr>
          <w:rFonts w:ascii="Arial" w:eastAsia="Times New Roman" w:hAnsi="Arial"/>
          <w:b/>
          <w:sz w:val="22"/>
          <w:szCs w:val="22"/>
          <w:lang w:eastAsia="x-none"/>
        </w:rPr>
        <w:t>1</w:t>
      </w:r>
      <w:r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651407" w:rsidRPr="0055115E" w:rsidRDefault="00651407" w:rsidP="00A5469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651407" w:rsidRPr="00651407" w:rsidRDefault="00651407" w:rsidP="00651407">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651407" w:rsidRPr="00651407" w:rsidRDefault="00651407" w:rsidP="00651407">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651407" w:rsidRDefault="00651407" w:rsidP="00651407">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651407" w:rsidRPr="00651407" w:rsidRDefault="00651407" w:rsidP="00651407">
      <w:pPr>
        <w:pStyle w:val="Akapitzlist"/>
        <w:numPr>
          <w:ilvl w:val="0"/>
          <w:numId w:val="52"/>
        </w:numPr>
        <w:suppressAutoHyphens w:val="0"/>
        <w:autoSpaceDN/>
        <w:spacing w:after="200" w:line="276" w:lineRule="auto"/>
        <w:jc w:val="both"/>
        <w:textAlignment w:val="auto"/>
        <w:rPr>
          <w:rFonts w:ascii="Arial" w:eastAsia="Calibri" w:hAnsi="Arial"/>
          <w:sz w:val="22"/>
          <w:szCs w:val="22"/>
        </w:rPr>
      </w:pPr>
      <w:r w:rsidRPr="00651407">
        <w:rPr>
          <w:rFonts w:ascii="Arial" w:eastAsia="Calibri" w:hAnsi="Arial"/>
          <w:b/>
          <w:sz w:val="22"/>
          <w:szCs w:val="22"/>
        </w:rPr>
        <w:t>Kryterium „Termin dostawy „na cito”</w:t>
      </w:r>
      <w:r w:rsidRPr="00651407">
        <w:rPr>
          <w:rFonts w:ascii="Arial" w:eastAsia="Calibri" w:hAnsi="Arial"/>
          <w:sz w:val="22"/>
          <w:szCs w:val="22"/>
        </w:rPr>
        <w:t xml:space="preserve"> będzie liczone w następujący sposób: najwyższą liczbę punktów za to kryterium (10 pkt) otrzyma oferta o najkrótszym terminie dostawy „na cito” (wykazanym w Formularzu ofertowym). Pozostali Wykonawcy odpowiednio mniej, stosownie do wzoru:</w:t>
      </w:r>
    </w:p>
    <w:p w:rsidR="00651407" w:rsidRPr="0055115E" w:rsidRDefault="00651407" w:rsidP="009C6218">
      <w:pPr>
        <w:tabs>
          <w:tab w:val="left" w:pos="2694"/>
        </w:tabs>
        <w:ind w:left="2694"/>
        <w:rPr>
          <w:rFonts w:ascii="Arial" w:eastAsia="Calibri" w:hAnsi="Arial"/>
          <w:sz w:val="22"/>
          <w:szCs w:val="22"/>
        </w:rPr>
      </w:pPr>
      <w:r w:rsidRPr="0055115E">
        <w:rPr>
          <w:rFonts w:ascii="Arial" w:eastAsia="Calibri" w:hAnsi="Arial"/>
          <w:sz w:val="22"/>
          <w:szCs w:val="22"/>
        </w:rPr>
        <w:t>najkrótszy zaoferowany termin dostawy „na cito”</w:t>
      </w:r>
    </w:p>
    <w:p w:rsidR="00651407" w:rsidRPr="0055115E" w:rsidRDefault="00651407" w:rsidP="00651407">
      <w:pPr>
        <w:ind w:left="284"/>
        <w:jc w:val="center"/>
        <w:rPr>
          <w:rFonts w:ascii="Arial" w:eastAsia="Calibri" w:hAnsi="Arial"/>
          <w:sz w:val="22"/>
          <w:szCs w:val="22"/>
          <w:vertAlign w:val="subscript"/>
        </w:rPr>
      </w:pPr>
      <w:r w:rsidRPr="0055115E">
        <w:rPr>
          <w:rFonts w:ascii="Arial" w:eastAsia="Calibri" w:hAnsi="Arial"/>
          <w:sz w:val="22"/>
          <w:szCs w:val="22"/>
        </w:rPr>
        <w:t>A = ------------------------------------------------------------------------- x 10 punktów</w:t>
      </w:r>
    </w:p>
    <w:p w:rsidR="00651407" w:rsidRPr="0055115E" w:rsidRDefault="00651407" w:rsidP="00651407">
      <w:pPr>
        <w:tabs>
          <w:tab w:val="left" w:pos="3240"/>
        </w:tabs>
        <w:spacing w:after="240"/>
        <w:ind w:left="3261"/>
        <w:rPr>
          <w:rFonts w:ascii="Arial" w:eastAsia="Calibri" w:hAnsi="Arial"/>
          <w:sz w:val="22"/>
          <w:szCs w:val="22"/>
        </w:rPr>
      </w:pPr>
      <w:r w:rsidRPr="0055115E">
        <w:rPr>
          <w:rFonts w:ascii="Arial" w:eastAsia="Calibri" w:hAnsi="Arial"/>
          <w:sz w:val="22"/>
          <w:szCs w:val="22"/>
        </w:rPr>
        <w:t>termin dostawy „na cito” oferty badanej</w:t>
      </w:r>
    </w:p>
    <w:p w:rsidR="00651407" w:rsidRPr="0055115E" w:rsidRDefault="00651407" w:rsidP="00651407">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51407" w:rsidRPr="0055115E" w:rsidRDefault="00651407" w:rsidP="00651407">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Termin dostawy  „na cito”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Pr="0055115E">
        <w:rPr>
          <w:rFonts w:ascii="Arial" w:eastAsia="Calibri" w:hAnsi="Arial"/>
          <w:b/>
          <w:sz w:val="22"/>
          <w:szCs w:val="22"/>
        </w:rPr>
        <w:t>24 godziny</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651407" w:rsidRPr="00651407" w:rsidRDefault="00651407" w:rsidP="00A54694">
      <w:pPr>
        <w:pStyle w:val="Akapitzlist"/>
        <w:numPr>
          <w:ilvl w:val="0"/>
          <w:numId w:val="52"/>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lastRenderedPageBreak/>
        <w:t>Kryterium „Termin wymiany w przypadku reklamacji”</w:t>
      </w:r>
      <w:r w:rsidRPr="00651407">
        <w:rPr>
          <w:rFonts w:ascii="Arial" w:eastAsia="Calibri" w:hAnsi="Arial"/>
          <w:sz w:val="22"/>
          <w:szCs w:val="22"/>
        </w:rPr>
        <w:t xml:space="preserve"> będzie liczone w następujący sposób: najwyższą liczbę punktów za to kryterium (10 pkt) otrzyma oferta o najkrótszym terminie wymiany (wykazanym w Formularzu ofertowym). Pozostali Wykonawcy odpowiednio mniej:</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2 dni robocze - 5 pkt</w:t>
      </w:r>
    </w:p>
    <w:p w:rsidR="00651407" w:rsidRPr="0055115E" w:rsidRDefault="00651407" w:rsidP="00651407">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1 dzień roboczy – 10 pkt</w:t>
      </w:r>
    </w:p>
    <w:p w:rsidR="00651407" w:rsidRPr="0055115E" w:rsidRDefault="00651407" w:rsidP="00651407">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51407" w:rsidRPr="0055115E" w:rsidRDefault="00651407" w:rsidP="00651407">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651407" w:rsidRPr="00651407" w:rsidRDefault="00651407" w:rsidP="00A54694">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Pr="00651407">
        <w:rPr>
          <w:rFonts w:ascii="Arial" w:hAnsi="Arial"/>
          <w:iCs/>
          <w:sz w:val="22"/>
          <w:szCs w:val="22"/>
          <w:lang w:eastAsia="x-none"/>
        </w:rPr>
        <w:br/>
      </w:r>
      <w:r w:rsidRPr="00651407">
        <w:rPr>
          <w:rFonts w:ascii="Arial" w:hAnsi="Arial"/>
          <w:iCs/>
          <w:sz w:val="22"/>
          <w:szCs w:val="22"/>
          <w:lang w:val="x-none" w:eastAsia="x-none"/>
        </w:rPr>
        <w:t>w niniejszej SIWZ, spośród ofert nie podlegających odrzuceniu, tj. tę ofertę, która w wyniku przeprowadzonej oceny uzyska najwyższą liczbę punktów, wyliczoną jako suma punktó</w:t>
      </w:r>
      <w:r w:rsidRPr="00651407">
        <w:rPr>
          <w:rFonts w:ascii="Arial" w:hAnsi="Arial"/>
          <w:iCs/>
          <w:sz w:val="22"/>
          <w:szCs w:val="22"/>
          <w:lang w:eastAsia="x-none"/>
        </w:rPr>
        <w:t xml:space="preserve">w uzyskanych za kryterium: </w:t>
      </w:r>
      <w:r w:rsidRPr="00651407">
        <w:rPr>
          <w:rFonts w:ascii="Arial" w:hAnsi="Arial"/>
          <w:sz w:val="22"/>
          <w:szCs w:val="22"/>
          <w:lang w:eastAsia="x-none"/>
        </w:rPr>
        <w:t xml:space="preserve">Cena, Termin dostawy, Termin dostawy „na cito”, </w:t>
      </w:r>
      <w:r w:rsidRPr="00651407">
        <w:rPr>
          <w:rFonts w:ascii="Arial" w:eastAsia="Calibri" w:hAnsi="Arial"/>
          <w:sz w:val="22"/>
          <w:szCs w:val="22"/>
        </w:rPr>
        <w:t>Termin wymiany w przypadku reklamacji</w:t>
      </w:r>
      <w:r w:rsidRPr="00651407">
        <w:rPr>
          <w:rFonts w:ascii="Arial" w:hAnsi="Arial"/>
          <w:sz w:val="22"/>
          <w:szCs w:val="22"/>
          <w:lang w:eastAsia="x-none"/>
        </w:rPr>
        <w:t xml:space="preserve">, tj. </w:t>
      </w:r>
      <w:r w:rsidRPr="00651407">
        <w:rPr>
          <w:rFonts w:ascii="Arial" w:hAnsi="Arial"/>
          <w:iCs/>
          <w:sz w:val="22"/>
          <w:szCs w:val="22"/>
          <w:lang w:eastAsia="x-none"/>
        </w:rPr>
        <w:t>A+B+C+D.</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B6" w:rsidRDefault="00B538B6">
      <w:r>
        <w:separator/>
      </w:r>
    </w:p>
  </w:endnote>
  <w:endnote w:type="continuationSeparator" w:id="0">
    <w:p w:rsidR="00B538B6" w:rsidRDefault="00B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61A84">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61A84">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B6" w:rsidRDefault="00B538B6">
      <w:r>
        <w:rPr>
          <w:color w:val="000000"/>
        </w:rPr>
        <w:separator/>
      </w:r>
    </w:p>
  </w:footnote>
  <w:footnote w:type="continuationSeparator" w:id="0">
    <w:p w:rsidR="00B538B6" w:rsidRDefault="00B5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40"/>
  </w:num>
  <w:num w:numId="3">
    <w:abstractNumId w:val="13"/>
  </w:num>
  <w:num w:numId="4">
    <w:abstractNumId w:val="19"/>
  </w:num>
  <w:num w:numId="5">
    <w:abstractNumId w:val="22"/>
  </w:num>
  <w:num w:numId="6">
    <w:abstractNumId w:val="45"/>
  </w:num>
  <w:num w:numId="7">
    <w:abstractNumId w:val="57"/>
  </w:num>
  <w:num w:numId="8">
    <w:abstractNumId w:val="56"/>
  </w:num>
  <w:num w:numId="9">
    <w:abstractNumId w:val="71"/>
  </w:num>
  <w:num w:numId="10">
    <w:abstractNumId w:val="63"/>
  </w:num>
  <w:num w:numId="11">
    <w:abstractNumId w:val="27"/>
  </w:num>
  <w:num w:numId="12">
    <w:abstractNumId w:val="24"/>
  </w:num>
  <w:num w:numId="13">
    <w:abstractNumId w:val="10"/>
  </w:num>
  <w:num w:numId="14">
    <w:abstractNumId w:val="34"/>
  </w:num>
  <w:num w:numId="15">
    <w:abstractNumId w:val="6"/>
  </w:num>
  <w:num w:numId="16">
    <w:abstractNumId w:val="60"/>
  </w:num>
  <w:num w:numId="17">
    <w:abstractNumId w:val="5"/>
  </w:num>
  <w:num w:numId="18">
    <w:abstractNumId w:val="49"/>
  </w:num>
  <w:num w:numId="19">
    <w:abstractNumId w:val="72"/>
  </w:num>
  <w:num w:numId="20">
    <w:abstractNumId w:val="59"/>
  </w:num>
  <w:num w:numId="21">
    <w:abstractNumId w:val="25"/>
  </w:num>
  <w:num w:numId="22">
    <w:abstractNumId w:val="11"/>
  </w:num>
  <w:num w:numId="23">
    <w:abstractNumId w:val="73"/>
  </w:num>
  <w:num w:numId="24">
    <w:abstractNumId w:val="0"/>
  </w:num>
  <w:num w:numId="25">
    <w:abstractNumId w:val="1"/>
  </w:num>
  <w:num w:numId="26">
    <w:abstractNumId w:val="2"/>
  </w:num>
  <w:num w:numId="27">
    <w:abstractNumId w:val="4"/>
  </w:num>
  <w:num w:numId="28">
    <w:abstractNumId w:val="55"/>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8"/>
  </w:num>
  <w:num w:numId="35">
    <w:abstractNumId w:val="37"/>
  </w:num>
  <w:num w:numId="36">
    <w:abstractNumId w:val="69"/>
  </w:num>
  <w:num w:numId="37">
    <w:abstractNumId w:val="28"/>
  </w:num>
  <w:num w:numId="38">
    <w:abstractNumId w:val="30"/>
  </w:num>
  <w:num w:numId="39">
    <w:abstractNumId w:val="68"/>
  </w:num>
  <w:num w:numId="40">
    <w:abstractNumId w:val="61"/>
  </w:num>
  <w:num w:numId="41">
    <w:abstractNumId w:val="39"/>
  </w:num>
  <w:num w:numId="42">
    <w:abstractNumId w:val="43"/>
  </w:num>
  <w:num w:numId="43">
    <w:abstractNumId w:val="41"/>
  </w:num>
  <w:num w:numId="44">
    <w:abstractNumId w:val="58"/>
  </w:num>
  <w:num w:numId="45">
    <w:abstractNumId w:val="47"/>
  </w:num>
  <w:num w:numId="46">
    <w:abstractNumId w:val="46"/>
  </w:num>
  <w:num w:numId="47">
    <w:abstractNumId w:val="7"/>
  </w:num>
  <w:num w:numId="48">
    <w:abstractNumId w:val="50"/>
  </w:num>
  <w:num w:numId="49">
    <w:abstractNumId w:val="33"/>
  </w:num>
  <w:num w:numId="50">
    <w:abstractNumId w:val="51"/>
  </w:num>
  <w:num w:numId="51">
    <w:abstractNumId w:val="21"/>
  </w:num>
  <w:num w:numId="52">
    <w:abstractNumId w:val="23"/>
  </w:num>
  <w:num w:numId="53">
    <w:abstractNumId w:val="65"/>
  </w:num>
  <w:num w:numId="54">
    <w:abstractNumId w:val="32"/>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9"/>
  </w:num>
  <w:num w:numId="59">
    <w:abstractNumId w:val="17"/>
  </w:num>
  <w:num w:numId="60">
    <w:abstractNumId w:val="35"/>
  </w:num>
  <w:num w:numId="61">
    <w:abstractNumId w:val="66"/>
  </w:num>
  <w:num w:numId="62">
    <w:abstractNumId w:val="12"/>
  </w:num>
  <w:num w:numId="63">
    <w:abstractNumId w:val="44"/>
  </w:num>
  <w:num w:numId="64">
    <w:abstractNumId w:val="20"/>
  </w:num>
  <w:num w:numId="65">
    <w:abstractNumId w:val="38"/>
  </w:num>
  <w:num w:numId="66">
    <w:abstractNumId w:val="64"/>
  </w:num>
  <w:num w:numId="67">
    <w:abstractNumId w:val="53"/>
  </w:num>
  <w:num w:numId="68">
    <w:abstractNumId w:val="52"/>
  </w:num>
  <w:num w:numId="69">
    <w:abstractNumId w:val="54"/>
  </w:num>
  <w:num w:numId="70">
    <w:abstractNumId w:val="42"/>
  </w:num>
  <w:num w:numId="71">
    <w:abstractNumId w:val="31"/>
  </w:num>
  <w:num w:numId="72">
    <w:abstractNumId w:val="15"/>
  </w:num>
  <w:num w:numId="73">
    <w:abstractNumId w:val="70"/>
  </w:num>
  <w:num w:numId="74">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A6DE6"/>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512AD"/>
    <w:rsid w:val="001541DA"/>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7C64"/>
    <w:rsid w:val="00297DFB"/>
    <w:rsid w:val="002A0352"/>
    <w:rsid w:val="002A6DE5"/>
    <w:rsid w:val="002A77EA"/>
    <w:rsid w:val="002B368F"/>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7770E"/>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1407"/>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538B6"/>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F34-A0A5-4C13-8FF4-9EE6E25A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5294</TotalTime>
  <Pages>15</Pages>
  <Words>7229</Words>
  <Characters>43379</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271</cp:revision>
  <cp:lastPrinted>2021-03-25T13:45:00Z</cp:lastPrinted>
  <dcterms:created xsi:type="dcterms:W3CDTF">2019-12-05T13:53:00Z</dcterms:created>
  <dcterms:modified xsi:type="dcterms:W3CDTF">2021-04-01T09:05:00Z</dcterms:modified>
</cp:coreProperties>
</file>