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E37C3F" w:rsidRPr="000566F5" w:rsidRDefault="00E37C3F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D3270C">
        <w:rPr>
          <w:rFonts w:ascii="Arial" w:hAnsi="Arial"/>
          <w:b/>
          <w:sz w:val="20"/>
          <w:szCs w:val="20"/>
        </w:rPr>
        <w:t>36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D3270C">
        <w:rPr>
          <w:rFonts w:ascii="Arial" w:eastAsia="Calibri" w:hAnsi="Arial"/>
          <w:noProof/>
          <w:sz w:val="20"/>
          <w:szCs w:val="20"/>
        </w:rPr>
        <w:t>narzędzi chirurgicznych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3055FA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>zamawia, a Wykonawca zobowiązuje się do 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D3270C">
        <w:rPr>
          <w:rFonts w:ascii="Arial" w:eastAsia="Times New Roman" w:hAnsi="Arial"/>
          <w:sz w:val="20"/>
          <w:szCs w:val="20"/>
          <w:lang w:eastAsia="hi-IN" w:bidi="ar-SA"/>
        </w:rPr>
        <w:t>narzędzi chirurgicznych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D3270C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436D9E">
        <w:rPr>
          <w:rFonts w:ascii="Arial" w:hAnsi="Arial"/>
          <w:sz w:val="20"/>
          <w:szCs w:val="20"/>
        </w:rPr>
        <w:t>na Blok Operacyjny</w:t>
      </w:r>
      <w:r w:rsidR="001E2C0A">
        <w:rPr>
          <w:rFonts w:ascii="Arial" w:hAnsi="Arial"/>
          <w:sz w:val="20"/>
          <w:szCs w:val="20"/>
        </w:rPr>
        <w:t xml:space="preserve"> przedmiotu dostawy</w:t>
      </w:r>
      <w:r w:rsidR="00436D9E">
        <w:rPr>
          <w:rFonts w:ascii="Arial" w:hAnsi="Arial"/>
          <w:sz w:val="20"/>
          <w:szCs w:val="20"/>
        </w:rPr>
        <w:t xml:space="preserve">, wraz z rozładunkiem </w:t>
      </w:r>
      <w:r w:rsidR="001E2C0A">
        <w:rPr>
          <w:rFonts w:ascii="Arial" w:hAnsi="Arial"/>
          <w:sz w:val="20"/>
          <w:szCs w:val="20"/>
        </w:rPr>
        <w:br/>
      </w:r>
      <w:r w:rsidR="00436D9E">
        <w:rPr>
          <w:rFonts w:ascii="Arial" w:hAnsi="Arial"/>
          <w:sz w:val="20"/>
          <w:szCs w:val="20"/>
        </w:rPr>
        <w:t>w miejscu wskazanym przez pracownika Bloku, na swój koszt i ryzyko</w:t>
      </w:r>
      <w:r w:rsidR="00E37C3F">
        <w:rPr>
          <w:rFonts w:ascii="Arial" w:hAnsi="Arial"/>
          <w:sz w:val="20"/>
          <w:szCs w:val="20"/>
        </w:rPr>
        <w:t>,</w:t>
      </w:r>
      <w:r w:rsidR="00436D9E">
        <w:rPr>
          <w:rFonts w:ascii="Arial" w:hAnsi="Arial"/>
          <w:sz w:val="20"/>
          <w:szCs w:val="20"/>
        </w:rPr>
        <w:t xml:space="preserve"> w terminie do …… dni (zgodnie z ofertą) od</w:t>
      </w:r>
      <w:r w:rsidR="00436D9E">
        <w:rPr>
          <w:rFonts w:ascii="Arial" w:hAnsi="Arial"/>
          <w:sz w:val="20"/>
          <w:szCs w:val="20"/>
        </w:rPr>
        <w:t xml:space="preserve"> daty zawarcia umowy</w:t>
      </w:r>
      <w:r w:rsidR="000101E6">
        <w:rPr>
          <w:rFonts w:ascii="Arial" w:hAnsi="Arial"/>
          <w:sz w:val="20"/>
          <w:szCs w:val="20"/>
        </w:rPr>
        <w:t>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7312A0" w:rsidRDefault="00B16492" w:rsidP="00436D9E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 w:rsidR="00D3270C">
        <w:rPr>
          <w:rFonts w:ascii="Arial" w:hAnsi="Arial"/>
          <w:sz w:val="20"/>
          <w:szCs w:val="20"/>
        </w:rPr>
        <w:t>wraz z przedmiotem dostawy</w:t>
      </w:r>
      <w:r w:rsidR="00436D9E">
        <w:rPr>
          <w:rFonts w:ascii="Arial" w:hAnsi="Arial"/>
          <w:sz w:val="20"/>
          <w:szCs w:val="20"/>
        </w:rPr>
        <w:t xml:space="preserve"> kart gwarancyjnych oraz </w:t>
      </w:r>
      <w:r w:rsidR="000B350E">
        <w:rPr>
          <w:rFonts w:ascii="Arial" w:hAnsi="Arial"/>
          <w:sz w:val="20"/>
          <w:szCs w:val="20"/>
        </w:rPr>
        <w:t>materiałów informacyjnych producenta</w:t>
      </w:r>
      <w:r w:rsidR="00D3270C">
        <w:rPr>
          <w:rFonts w:ascii="Arial" w:hAnsi="Arial"/>
          <w:sz w:val="20"/>
          <w:szCs w:val="20"/>
        </w:rPr>
        <w:t xml:space="preserve"> w zakresie mycia, dezynfekcji i sterylizacji</w:t>
      </w:r>
      <w:r w:rsidR="00436D9E">
        <w:rPr>
          <w:rFonts w:ascii="Arial" w:eastAsia="Times New Roman" w:hAnsi="Arial"/>
          <w:sz w:val="20"/>
          <w:szCs w:val="20"/>
        </w:rPr>
        <w:t>;</w:t>
      </w:r>
    </w:p>
    <w:p w:rsidR="00436D9E" w:rsidRPr="00436D9E" w:rsidRDefault="00436D9E" w:rsidP="00436D9E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zapewnienia w okresie gwarancji serwisu </w:t>
      </w:r>
      <w:r>
        <w:rPr>
          <w:rFonts w:ascii="Arial" w:eastAsia="Times New Roman" w:hAnsi="Arial"/>
          <w:sz w:val="20"/>
          <w:szCs w:val="20"/>
        </w:rPr>
        <w:t>certyfikowanego</w:t>
      </w:r>
      <w:r>
        <w:rPr>
          <w:rFonts w:ascii="Arial" w:eastAsia="Times New Roman" w:hAnsi="Arial"/>
          <w:sz w:val="20"/>
          <w:szCs w:val="20"/>
        </w:rPr>
        <w:t xml:space="preserve"> normami ISO 9001 oraz ISO 13485.</w:t>
      </w: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E37C3F" w:rsidRDefault="00E37C3F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E37C3F" w:rsidRDefault="00E37C3F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E37C3F" w:rsidRDefault="00E37C3F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E37C3F" w:rsidRDefault="00E37C3F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E37C3F" w:rsidRDefault="00E37C3F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E37C3F" w:rsidRDefault="009C2C09" w:rsidP="00E37C3F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  <w:r w:rsidR="00E37C3F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 xml:space="preserve"> </w:t>
      </w:r>
      <w:r w:rsidRPr="00E37C3F"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na adres e-mail: faktury@szpitalzawiercie.pl w formacie PDF, zgodnie </w:t>
      </w:r>
      <w:r w:rsidR="00E37C3F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>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będzie fabrycznie nowy, kompletny,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(w szczególności materiałowych i konstrukcyjnych) i prawnych.</w:t>
      </w:r>
      <w:r w:rsidRPr="00E37C3F">
        <w:rPr>
          <w:rFonts w:ascii="Arial" w:eastAsia="Times New Roman" w:hAnsi="Arial"/>
          <w:color w:val="FF0000"/>
          <w:sz w:val="20"/>
          <w:szCs w:val="20"/>
          <w:lang w:eastAsia="ar-SA"/>
        </w:rPr>
        <w:t xml:space="preserve"> 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Wykonawca udziela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na przedmiot dostawy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gwarancji jakości i rękojmi za wady na okres </w:t>
      </w:r>
      <w:r w:rsidR="000B350E">
        <w:rPr>
          <w:rFonts w:ascii="Arial" w:eastAsia="Times New Roman" w:hAnsi="Arial"/>
          <w:sz w:val="20"/>
          <w:szCs w:val="20"/>
          <w:lang w:eastAsia="ar-SA"/>
        </w:rPr>
        <w:br/>
        <w:t xml:space="preserve">12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miesięcy licząc od daty podpisania przez Zamawiającego bez zastrzeżeń protokołu odbioru.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Wykonawca w ramach udzielonej gwarancji jakości i rękojmi za wady będzie naprawiał lub wymieniał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przedmiot dostawy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lub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jego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elementy, w których ujawnią się wady lub które uległy uszkodzeniu w czasie prawidłowego użytkowania i nie będzie obciążał Zamawiającego żadnymi kosztami z tego tytułu.</w:t>
      </w:r>
      <w:r w:rsidRPr="00E37C3F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 xml:space="preserve"> 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Wykonawca będzie wykonywał obowiązki wynikające z udzielonej gwarancji jakości lub rękojmi </w:t>
      </w:r>
      <w:r w:rsidR="000D4E85">
        <w:rPr>
          <w:rFonts w:ascii="Arial" w:eastAsia="Times New Roman" w:hAnsi="Arial"/>
          <w:sz w:val="20"/>
          <w:szCs w:val="20"/>
          <w:lang w:eastAsia="ar-SA"/>
        </w:rPr>
        <w:br/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 miejscu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użytkowania przedmiotu dostawy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. Za zgodą Zamawiającego może być to inne miejsce. 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Jeżeli w okresie gwarancji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przedmiot dostawy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okaże się wadliwy, Wykonawca zobowiązuje się do jego naprawy w terminie nie dłuższym niż </w:t>
      </w:r>
      <w:r w:rsidR="000B350E">
        <w:rPr>
          <w:rFonts w:ascii="Arial" w:eastAsia="Times New Roman" w:hAnsi="Arial"/>
          <w:sz w:val="20"/>
          <w:szCs w:val="20"/>
          <w:lang w:eastAsia="ar-SA"/>
        </w:rPr>
        <w:t>……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dni kalendarzowych od chwili zgłoszenia wady mailem na adres: ………………………………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 przypadku zwłoki w realizacji obowiązku wskazanego w ust. 6, Zamawiający ma prawo do wykonania naprawy we własnym zakresie lub zlecenia takiej naprawy innemu podmiotowi </w:t>
      </w:r>
      <w:r w:rsidR="000D4E85">
        <w:rPr>
          <w:rFonts w:ascii="Arial" w:eastAsia="Times New Roman" w:hAnsi="Arial"/>
          <w:sz w:val="20"/>
          <w:szCs w:val="20"/>
          <w:lang w:eastAsia="ar-SA"/>
        </w:rPr>
        <w:br/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E37C3F">
        <w:rPr>
          <w:rFonts w:ascii="Arial" w:eastAsia="Times New Roman" w:hAnsi="Arial"/>
          <w:b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:rsidR="00E37C3F" w:rsidRPr="000D4E85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>Każda naprawa przedłuża automatycznie okres gwarancji o czas liczony od dnia zgłoszenia wady do dnia jej usunięcia.</w:t>
      </w:r>
    </w:p>
    <w:p w:rsidR="000D4E85" w:rsidRDefault="000D4E85" w:rsidP="000D4E85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D4E85" w:rsidRDefault="000D4E85" w:rsidP="000D4E85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D4E85" w:rsidRPr="00E37C3F" w:rsidRDefault="000D4E85" w:rsidP="000D4E85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E37C3F" w:rsidRPr="000D4E85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0D4E85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>narzędzia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wolny od wad </w:t>
      </w:r>
      <w:r w:rsidR="000D4E85">
        <w:rPr>
          <w:rFonts w:ascii="Arial" w:eastAsia="Times New Roman" w:hAnsi="Arial"/>
          <w:sz w:val="20"/>
          <w:szCs w:val="20"/>
          <w:lang w:eastAsia="ar-SA"/>
        </w:rPr>
        <w:br/>
      </w:r>
      <w:r w:rsidRPr="000D4E85">
        <w:rPr>
          <w:rFonts w:ascii="Arial" w:eastAsia="Times New Roman" w:hAnsi="Arial"/>
          <w:sz w:val="20"/>
          <w:szCs w:val="20"/>
          <w:lang w:eastAsia="ar-SA"/>
        </w:rPr>
        <w:t xml:space="preserve">w terminie nie dłuższym niż  21 dni kalendarzowych liczonych odpowiednio od dnia pojawienia się trzeci raz tej samej wady lub od dnia stwierdzenia przez Zamawiającego braku możliwości usunięcia wady. Dostarczenie nowego 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>narzędzia</w:t>
      </w:r>
      <w:r w:rsidRPr="000D4E85">
        <w:rPr>
          <w:rFonts w:ascii="Arial" w:eastAsia="Times New Roman" w:hAnsi="Arial"/>
          <w:sz w:val="20"/>
          <w:szCs w:val="20"/>
          <w:lang w:eastAsia="ar-SA"/>
        </w:rPr>
        <w:t xml:space="preserve"> lub jego elementu nastąpi na koszt i ryzyko Wykonawcy.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W przypadku wymiany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narzędzia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>narzędzia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wymiany.</w:t>
      </w:r>
    </w:p>
    <w:p w:rsidR="00E37C3F" w:rsidRPr="00E37C3F" w:rsidRDefault="00E37C3F" w:rsidP="00E37C3F">
      <w:pPr>
        <w:numPr>
          <w:ilvl w:val="0"/>
          <w:numId w:val="47"/>
        </w:numPr>
        <w:tabs>
          <w:tab w:val="left" w:pos="426"/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  <w:r w:rsidRPr="00E37C3F"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gwarancyjnych, a postanowieniami gwarancyjnymi zawartymi w niniejszej umowie, pierwszeństwo mają warunki gwarancyjne ustalone w niniejszej umowie.</w:t>
      </w:r>
    </w:p>
    <w:p w:rsidR="000566F5" w:rsidRPr="00E37C3F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E37C3F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37C3F">
        <w:rPr>
          <w:rFonts w:ascii="Arial" w:hAnsi="Arial"/>
          <w:b/>
          <w:sz w:val="20"/>
          <w:szCs w:val="20"/>
        </w:rPr>
        <w:t>§ 5</w:t>
      </w:r>
    </w:p>
    <w:p w:rsidR="00D04854" w:rsidRPr="00E37C3F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37C3F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E37C3F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E37C3F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E37C3F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E37C3F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E37C3F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E37C3F">
        <w:rPr>
          <w:rFonts w:ascii="Arial" w:hAnsi="Arial"/>
          <w:b/>
          <w:sz w:val="20"/>
          <w:szCs w:val="20"/>
        </w:rPr>
        <w:t>§ 6</w:t>
      </w:r>
    </w:p>
    <w:p w:rsidR="00D04854" w:rsidRPr="00E37C3F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E37C3F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 w:rsidRPr="00E37C3F">
        <w:rPr>
          <w:rFonts w:ascii="Arial" w:hAnsi="Arial"/>
          <w:spacing w:val="-2"/>
          <w:sz w:val="20"/>
          <w:szCs w:val="20"/>
        </w:rPr>
        <w:br/>
      </w:r>
      <w:r w:rsidRPr="00E37C3F">
        <w:rPr>
          <w:rFonts w:ascii="Arial" w:hAnsi="Arial"/>
          <w:spacing w:val="-2"/>
          <w:sz w:val="20"/>
          <w:szCs w:val="20"/>
        </w:rPr>
        <w:t>i wysokościach:</w:t>
      </w:r>
    </w:p>
    <w:p w:rsidR="00CB7032" w:rsidRDefault="00CB7032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37C3F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 w:rsidRPr="00E37C3F">
        <w:rPr>
          <w:rFonts w:ascii="Arial" w:eastAsia="Times New Roman" w:hAnsi="Arial"/>
          <w:sz w:val="20"/>
          <w:szCs w:val="20"/>
          <w:lang w:eastAsia="ar-SA"/>
        </w:rPr>
        <w:t xml:space="preserve">zwłoki w dostawie </w:t>
      </w:r>
      <w:r w:rsidR="00DF700E"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E37C3F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– w wysokości 1% </w:t>
      </w:r>
      <w:r w:rsidR="00DF700E" w:rsidRPr="008F156B">
        <w:rPr>
          <w:rFonts w:ascii="Arial" w:eastAsia="Times New Roman" w:hAnsi="Arial"/>
          <w:sz w:val="18"/>
          <w:szCs w:val="18"/>
          <w:lang w:eastAsia="ar-SA"/>
        </w:rPr>
        <w:t xml:space="preserve">wynagrodzenia netto określonego w § 3 ust. 1 niniejszej umowy (w zakresie danego pakietu) za każdy rozpoczęty dzień zwłoki, nie więcej jednak niż 10 % </w:t>
      </w:r>
      <w:r w:rsidR="00DF700E" w:rsidRPr="008F156B"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 w:rsidR="00DF700E" w:rsidRPr="008F156B"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</w:t>
      </w:r>
      <w:r w:rsidRPr="00E37C3F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:rsidR="00C97C3D" w:rsidRPr="00C97C3D" w:rsidRDefault="00C97C3D" w:rsidP="00C97C3D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97C3D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6 lub w § 4 ust. 9 umowy - </w:t>
      </w:r>
      <w:r w:rsidRPr="00C97C3D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C97C3D">
        <w:rPr>
          <w:rFonts w:ascii="Arial" w:eastAsia="Times New Roman" w:hAnsi="Arial"/>
          <w:sz w:val="20"/>
          <w:szCs w:val="20"/>
          <w:lang w:eastAsia="ar-SA"/>
        </w:rPr>
        <w:t>0,2 % wartości netto, określonej w formularzu asortymentowo cenowym stanowiącym załącznik nr 2 do niniejszej umowy, dla danego sprzętu za każdy rozpoczęty dzień zwłoki;</w:t>
      </w:r>
    </w:p>
    <w:p w:rsidR="00C97C3D" w:rsidRPr="00C97C3D" w:rsidRDefault="00C97C3D" w:rsidP="00C97C3D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C97C3D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lub </w:t>
      </w:r>
      <w:r w:rsidR="000B350E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C97C3D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odstąpienia od umowy z przyczyn leżących po stronie Wykonawcy - w wysokości 20 % wynagrodzenia netto określonego w </w:t>
      </w:r>
      <w:r w:rsidRPr="00C97C3D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C97C3D" w:rsidRPr="000B350E" w:rsidRDefault="00C97C3D" w:rsidP="00C97C3D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C97C3D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0B350E">
        <w:rPr>
          <w:rFonts w:ascii="Arial" w:hAnsi="Arial"/>
          <w:sz w:val="20"/>
          <w:szCs w:val="20"/>
        </w:rPr>
        <w:br/>
      </w:r>
      <w:r w:rsidRPr="00C97C3D">
        <w:rPr>
          <w:rFonts w:ascii="Arial" w:hAnsi="Arial"/>
          <w:sz w:val="20"/>
          <w:szCs w:val="20"/>
        </w:rPr>
        <w:t xml:space="preserve">w przypadku zaistnienia przesłanek określonych w umowie dla jej naliczenia.  Suma naliczonych kar umownych nie może przekroczyć 30% wynagrodzenia netto określonego w § 3 ust. 1 niniejszej umowy. </w:t>
      </w:r>
    </w:p>
    <w:p w:rsidR="00C97C3D" w:rsidRPr="000B350E" w:rsidRDefault="00C97C3D" w:rsidP="000B350E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B350E">
        <w:rPr>
          <w:rFonts w:ascii="Arial" w:hAnsi="Arial"/>
          <w:sz w:val="20"/>
          <w:szCs w:val="20"/>
        </w:rPr>
        <w:t xml:space="preserve">Zamawiający ma prawo do rozwiązania umowy ze skutkiem natychmiastowym, gdy zwłoka </w:t>
      </w:r>
      <w:r w:rsidR="000B350E" w:rsidRPr="000B350E">
        <w:rPr>
          <w:rFonts w:ascii="Arial" w:hAnsi="Arial"/>
          <w:sz w:val="20"/>
          <w:szCs w:val="20"/>
        </w:rPr>
        <w:br/>
      </w:r>
      <w:r w:rsidRPr="000B350E">
        <w:rPr>
          <w:rFonts w:ascii="Arial" w:hAnsi="Arial"/>
          <w:sz w:val="20"/>
          <w:szCs w:val="20"/>
        </w:rPr>
        <w:t xml:space="preserve">w wykonaniu któregokolwiek z obowiązków wskazanych w § 2 ust. 1) umowy przekroczy </w:t>
      </w:r>
      <w:r w:rsidR="000B350E">
        <w:rPr>
          <w:rFonts w:ascii="Arial" w:hAnsi="Arial"/>
          <w:sz w:val="20"/>
          <w:szCs w:val="20"/>
        </w:rPr>
        <w:br/>
      </w:r>
      <w:r w:rsidRPr="000B350E">
        <w:rPr>
          <w:rFonts w:ascii="Arial" w:hAnsi="Arial"/>
          <w:sz w:val="20"/>
          <w:szCs w:val="20"/>
        </w:rPr>
        <w:t>10 dni roboczych. Rozwiązanie umowy w takim przypadku nie pozbawia Zamawiającego prawa do naliczenia kary umownej i żądania odszkodowania uzupełniającego.</w:t>
      </w:r>
    </w:p>
    <w:p w:rsidR="00C97C3D" w:rsidRPr="000B350E" w:rsidRDefault="00C97C3D" w:rsidP="000B350E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B350E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</w:t>
      </w:r>
      <w:r w:rsidR="000B350E">
        <w:rPr>
          <w:rFonts w:ascii="Arial" w:eastAsia="Times New Roman" w:hAnsi="Arial" w:cs="Arial"/>
          <w:sz w:val="20"/>
          <w:szCs w:val="20"/>
        </w:rPr>
        <w:br/>
      </w:r>
      <w:r w:rsidRPr="000B350E">
        <w:rPr>
          <w:rFonts w:ascii="Arial" w:eastAsia="Times New Roman" w:hAnsi="Arial" w:cs="Arial"/>
          <w:sz w:val="20"/>
          <w:szCs w:val="20"/>
        </w:rPr>
        <w:t>w wezwaniu dodatkowym terminie, nie krótszym niż 7 dni roboczych.</w:t>
      </w:r>
    </w:p>
    <w:p w:rsidR="00C97C3D" w:rsidRPr="000B350E" w:rsidRDefault="00C97C3D" w:rsidP="000B350E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B350E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C97C3D" w:rsidRPr="000B350E" w:rsidRDefault="00C97C3D" w:rsidP="000B350E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B350E"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:rsidR="00866246" w:rsidRPr="00866246" w:rsidRDefault="00C97C3D" w:rsidP="00866246">
      <w:pPr>
        <w:pStyle w:val="Akapitzlist"/>
        <w:numPr>
          <w:ilvl w:val="0"/>
          <w:numId w:val="4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66246">
        <w:rPr>
          <w:rFonts w:ascii="Arial" w:hAnsi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:rsidR="00866246" w:rsidRDefault="00866246" w:rsidP="00866246">
      <w:pPr>
        <w:pStyle w:val="Akapitzlist"/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866246" w:rsidRDefault="00866246" w:rsidP="00866246">
      <w:pPr>
        <w:pStyle w:val="Akapitzlist"/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866246" w:rsidRDefault="00866246" w:rsidP="00866246">
      <w:pPr>
        <w:pStyle w:val="Akapitzlist"/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C97C3D" w:rsidRDefault="00C97C3D" w:rsidP="00866246">
      <w:pPr>
        <w:pStyle w:val="Akapitzlist"/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866246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C97C3D" w:rsidRPr="00866246" w:rsidRDefault="00C97C3D" w:rsidP="00866246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866246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866246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7493C">
        <w:rPr>
          <w:rFonts w:ascii="Arial" w:hAnsi="Arial"/>
          <w:sz w:val="20"/>
          <w:szCs w:val="20"/>
        </w:rPr>
        <w:t xml:space="preserve">W </w:t>
      </w:r>
      <w:r w:rsidR="0051130F" w:rsidRPr="00F7493C">
        <w:rPr>
          <w:rFonts w:ascii="Arial" w:hAnsi="Arial"/>
          <w:sz w:val="20"/>
          <w:szCs w:val="20"/>
        </w:rPr>
        <w:t xml:space="preserve">przypadkach określonych w ust. </w:t>
      </w:r>
      <w:r w:rsidR="00EE5625" w:rsidRPr="00F7493C">
        <w:rPr>
          <w:rFonts w:ascii="Arial" w:hAnsi="Arial"/>
          <w:sz w:val="20"/>
          <w:szCs w:val="20"/>
        </w:rPr>
        <w:t>1</w:t>
      </w:r>
      <w:r w:rsidRPr="00F7493C">
        <w:rPr>
          <w:rFonts w:ascii="Arial" w:hAnsi="Arial"/>
          <w:sz w:val="20"/>
          <w:szCs w:val="20"/>
        </w:rPr>
        <w:t xml:space="preserve"> pkt 1) </w:t>
      </w:r>
      <w:r w:rsidR="00E23739" w:rsidRPr="00F7493C">
        <w:rPr>
          <w:rFonts w:ascii="Arial" w:eastAsia="Times New Roman" w:hAnsi="Arial"/>
          <w:sz w:val="20"/>
          <w:szCs w:val="20"/>
          <w:lang w:eastAsia="ar-SA"/>
        </w:rPr>
        <w:t xml:space="preserve">Strony obowiązane są wzajemnie się poinformować </w:t>
      </w:r>
      <w:r w:rsidR="00CB7032" w:rsidRPr="00F7493C">
        <w:rPr>
          <w:rFonts w:ascii="Arial" w:eastAsia="Times New Roman" w:hAnsi="Arial"/>
          <w:sz w:val="20"/>
          <w:szCs w:val="20"/>
          <w:lang w:eastAsia="ar-SA"/>
        </w:rPr>
        <w:br/>
      </w:r>
      <w:r w:rsidR="00E23739" w:rsidRPr="00F7493C">
        <w:rPr>
          <w:rFonts w:ascii="Arial" w:eastAsia="Times New Roman" w:hAnsi="Arial"/>
          <w:sz w:val="20"/>
          <w:szCs w:val="20"/>
          <w:lang w:eastAsia="ar-SA"/>
        </w:rPr>
        <w:t xml:space="preserve">o zaistniałych okolicznościach wraz z ich szczegółowym opisaniem. </w:t>
      </w:r>
      <w:r w:rsidR="00866246" w:rsidRPr="00F7493C">
        <w:rPr>
          <w:rFonts w:ascii="Arial" w:hAnsi="Arial"/>
          <w:kern w:val="3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</w:t>
      </w:r>
      <w:r w:rsidR="00E23739" w:rsidRPr="00F7493C">
        <w:rPr>
          <w:rFonts w:ascii="Arial" w:hAnsi="Arial"/>
          <w:sz w:val="20"/>
          <w:szCs w:val="20"/>
        </w:rPr>
        <w:t xml:space="preserve"> </w:t>
      </w:r>
      <w:r w:rsidR="0051130F" w:rsidRPr="00F7493C">
        <w:rPr>
          <w:rFonts w:ascii="Arial" w:hAnsi="Arial"/>
          <w:sz w:val="20"/>
          <w:szCs w:val="20"/>
        </w:rPr>
        <w:t xml:space="preserve">W przypadku określonym w ust. </w:t>
      </w:r>
      <w:r w:rsidR="00EE5625" w:rsidRPr="00F7493C">
        <w:rPr>
          <w:rFonts w:ascii="Arial" w:hAnsi="Arial"/>
          <w:sz w:val="20"/>
          <w:szCs w:val="20"/>
        </w:rPr>
        <w:t>1</w:t>
      </w:r>
      <w:r w:rsidRPr="00F7493C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F7493C">
        <w:rPr>
          <w:rFonts w:ascii="Arial" w:hAnsi="Arial"/>
          <w:sz w:val="20"/>
          <w:szCs w:val="20"/>
        </w:rPr>
        <w:t xml:space="preserve">ypadku określonym w ust. </w:t>
      </w:r>
      <w:r w:rsidR="00EE5625" w:rsidRPr="00F7493C">
        <w:rPr>
          <w:rFonts w:ascii="Arial" w:hAnsi="Arial"/>
          <w:sz w:val="20"/>
          <w:szCs w:val="20"/>
        </w:rPr>
        <w:t>1</w:t>
      </w:r>
      <w:r w:rsidR="00F8521B" w:rsidRPr="00F7493C">
        <w:rPr>
          <w:rFonts w:ascii="Arial" w:hAnsi="Arial"/>
          <w:sz w:val="20"/>
          <w:szCs w:val="20"/>
        </w:rPr>
        <w:t xml:space="preserve"> pkt 3</w:t>
      </w:r>
      <w:r w:rsidRPr="00F7493C">
        <w:rPr>
          <w:rFonts w:ascii="Arial" w:hAnsi="Arial"/>
          <w:sz w:val="20"/>
          <w:szCs w:val="20"/>
        </w:rPr>
        <w:t>)</w:t>
      </w:r>
      <w:r w:rsidR="00030F41" w:rsidRPr="00F7493C">
        <w:rPr>
          <w:rFonts w:ascii="Arial" w:hAnsi="Arial"/>
          <w:sz w:val="20"/>
          <w:szCs w:val="20"/>
        </w:rPr>
        <w:t xml:space="preserve"> i 4)</w:t>
      </w:r>
      <w:r w:rsidRPr="00F7493C">
        <w:rPr>
          <w:rFonts w:ascii="Arial" w:hAnsi="Arial"/>
          <w:sz w:val="20"/>
          <w:szCs w:val="20"/>
        </w:rPr>
        <w:t xml:space="preserve"> zmiana nastąpić może przy zachowaniu dotychczasowych</w:t>
      </w:r>
      <w:r w:rsidRPr="0051130F">
        <w:rPr>
          <w:rFonts w:ascii="Arial" w:hAnsi="Arial"/>
          <w:sz w:val="20"/>
          <w:szCs w:val="20"/>
        </w:rPr>
        <w:t xml:space="preserve">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866246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</w:t>
      </w:r>
      <w:bookmarkStart w:id="0" w:name="_GoBack"/>
      <w:bookmarkEnd w:id="0"/>
      <w:r w:rsidRPr="0051130F">
        <w:rPr>
          <w:rFonts w:ascii="Arial" w:hAnsi="Arial"/>
          <w:sz w:val="20"/>
          <w:szCs w:val="20"/>
          <w:lang w:eastAsia="hi-IN"/>
        </w:rPr>
        <w:t xml:space="preserve">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E37C3F">
        <w:rPr>
          <w:rFonts w:ascii="Arial" w:hAnsi="Arial"/>
          <w:sz w:val="20"/>
          <w:szCs w:val="20"/>
        </w:rPr>
        <w:t>-cenowy,</w:t>
      </w:r>
    </w:p>
    <w:p w:rsidR="00E37C3F" w:rsidRPr="00D10CFE" w:rsidRDefault="00E37C3F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82D79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79" w:rsidRDefault="00982D79" w:rsidP="00C26EE9">
      <w:r>
        <w:separator/>
      </w:r>
    </w:p>
  </w:endnote>
  <w:endnote w:type="continuationSeparator" w:id="0">
    <w:p w:rsidR="00982D79" w:rsidRDefault="00982D7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79" w:rsidRDefault="00982D79" w:rsidP="00C26EE9">
      <w:r>
        <w:separator/>
      </w:r>
    </w:p>
  </w:footnote>
  <w:footnote w:type="continuationSeparator" w:id="0">
    <w:p w:rsidR="00982D79" w:rsidRDefault="00982D7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82D79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424AA"/>
    <w:multiLevelType w:val="hybridMultilevel"/>
    <w:tmpl w:val="B4F249C6"/>
    <w:lvl w:ilvl="0" w:tplc="50B474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6"/>
  </w:num>
  <w:num w:numId="45">
    <w:abstractNumId w:val="16"/>
  </w:num>
  <w:num w:numId="46">
    <w:abstractNumId w:val="20"/>
  </w:num>
  <w:num w:numId="47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350E"/>
    <w:rsid w:val="000B62B9"/>
    <w:rsid w:val="000C2DC8"/>
    <w:rsid w:val="000D4E85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2C0A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55FA"/>
    <w:rsid w:val="00307119"/>
    <w:rsid w:val="00337E70"/>
    <w:rsid w:val="003518CA"/>
    <w:rsid w:val="00354BFB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6D9E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66246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82D79"/>
    <w:rsid w:val="009930FF"/>
    <w:rsid w:val="009A013C"/>
    <w:rsid w:val="009A6F9A"/>
    <w:rsid w:val="009C074D"/>
    <w:rsid w:val="009C2C09"/>
    <w:rsid w:val="009D203F"/>
    <w:rsid w:val="009D20C4"/>
    <w:rsid w:val="009E5BE4"/>
    <w:rsid w:val="00A16CC6"/>
    <w:rsid w:val="00A20B31"/>
    <w:rsid w:val="00A43B01"/>
    <w:rsid w:val="00A50C30"/>
    <w:rsid w:val="00A55DFC"/>
    <w:rsid w:val="00A7209A"/>
    <w:rsid w:val="00A7510E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C3D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3270C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DF700E"/>
    <w:rsid w:val="00E12DBD"/>
    <w:rsid w:val="00E167D4"/>
    <w:rsid w:val="00E23739"/>
    <w:rsid w:val="00E37C3F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E5625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7493C"/>
    <w:rsid w:val="00F839A0"/>
    <w:rsid w:val="00F8521B"/>
    <w:rsid w:val="00F85F67"/>
    <w:rsid w:val="00F8669D"/>
    <w:rsid w:val="00F92A61"/>
    <w:rsid w:val="00F9380D"/>
    <w:rsid w:val="00F971CC"/>
    <w:rsid w:val="00FA2E94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855B-B36B-4A2A-8BCD-54A7E561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1795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8</cp:revision>
  <cp:lastPrinted>2021-05-26T10:50:00Z</cp:lastPrinted>
  <dcterms:created xsi:type="dcterms:W3CDTF">2021-05-26T08:00:00Z</dcterms:created>
  <dcterms:modified xsi:type="dcterms:W3CDTF">2021-05-26T10:51:00Z</dcterms:modified>
</cp:coreProperties>
</file>