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432E67">
        <w:rPr>
          <w:rFonts w:ascii="Arial" w:eastAsia="Calibri" w:hAnsi="Arial"/>
          <w:b/>
          <w:noProof/>
          <w:sz w:val="28"/>
          <w:szCs w:val="28"/>
        </w:rPr>
        <w:t>testów do sterylizacji parowej</w:t>
      </w:r>
      <w:r w:rsidR="0032118F">
        <w:rPr>
          <w:rFonts w:ascii="Arial" w:eastAsia="Calibri" w:hAnsi="Arial"/>
          <w:b/>
          <w:noProof/>
          <w:sz w:val="28"/>
          <w:szCs w:val="28"/>
        </w:rPr>
        <w:t xml:space="preserve"> </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432E67">
        <w:rPr>
          <w:rFonts w:ascii="Arial" w:eastAsia="Arial" w:hAnsi="Arial"/>
          <w:kern w:val="0"/>
          <w:sz w:val="28"/>
          <w:szCs w:val="20"/>
          <w:u w:val="single"/>
          <w:lang w:eastAsia="pl-PL" w:bidi="ar-SA"/>
        </w:rPr>
        <w:t>12/2022</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046192"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432E67">
        <w:rPr>
          <w:rFonts w:ascii="Arial" w:eastAsia="Arial" w:hAnsi="Arial"/>
          <w:kern w:val="0"/>
          <w:szCs w:val="20"/>
          <w:lang w:eastAsia="pl-PL" w:bidi="ar-SA"/>
        </w:rPr>
        <w:t>………</w:t>
      </w:r>
      <w:r w:rsidR="006252B4">
        <w:rPr>
          <w:rFonts w:ascii="Arial" w:eastAsia="Arial" w:hAnsi="Arial"/>
          <w:kern w:val="0"/>
          <w:szCs w:val="20"/>
          <w:lang w:eastAsia="pl-PL" w:bidi="ar-SA"/>
        </w:rPr>
        <w:t>.2022</w:t>
      </w:r>
      <w:r w:rsidR="0089174C">
        <w:rPr>
          <w:rFonts w:ascii="Arial" w:eastAsia="Arial" w:hAnsi="Arial"/>
          <w:kern w:val="0"/>
          <w:szCs w:val="20"/>
          <w:lang w:eastAsia="pl-PL" w:bidi="ar-SA"/>
        </w:rPr>
        <w:t xml:space="preserve">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1D29A1">
      <w:pPr>
        <w:pStyle w:val="Standard"/>
        <w:numPr>
          <w:ilvl w:val="0"/>
          <w:numId w:val="42"/>
        </w:numPr>
        <w:spacing w:after="0"/>
        <w:ind w:left="426" w:hanging="426"/>
        <w:jc w:val="both"/>
        <w:rPr>
          <w:rFonts w:ascii="Arial" w:hAnsi="Arial"/>
        </w:rPr>
      </w:pPr>
      <w:r w:rsidRPr="00D25982">
        <w:rPr>
          <w:rFonts w:ascii="Arial" w:hAnsi="Arial"/>
        </w:rPr>
        <w:t>Postępowanie prowadzone jest zgodnie z ustawą z dnia 11 września 2019 r. Prawo zamówień publicznych (tj. Dz. U. z 20</w:t>
      </w:r>
      <w:r w:rsidR="00C67110">
        <w:rPr>
          <w:rFonts w:ascii="Arial" w:hAnsi="Arial"/>
        </w:rPr>
        <w:t>21</w:t>
      </w:r>
      <w:r w:rsidRPr="00D25982">
        <w:rPr>
          <w:rFonts w:ascii="Arial" w:hAnsi="Arial"/>
        </w:rPr>
        <w:t xml:space="preserve"> r. poz. </w:t>
      </w:r>
      <w:r w:rsidR="00C67110">
        <w:rPr>
          <w:rFonts w:ascii="Arial" w:hAnsi="Arial"/>
        </w:rPr>
        <w:t>1129</w:t>
      </w:r>
      <w:r w:rsidRPr="00D25982">
        <w:rPr>
          <w:rFonts w:ascii="Arial" w:hAnsi="Arial"/>
        </w:rPr>
        <w:t xml:space="preserve">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1D29A1">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432E67">
        <w:rPr>
          <w:rFonts w:ascii="Arial" w:eastAsiaTheme="minorEastAsia" w:hAnsi="Arial" w:cs="Arial"/>
          <w:sz w:val="22"/>
          <w:szCs w:val="22"/>
          <w:lang w:eastAsia="pl-PL"/>
        </w:rPr>
        <w:t>testów do sterylizacji parowej</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w:t>
      </w:r>
      <w:r w:rsidR="00AA1AF3">
        <w:rPr>
          <w:rFonts w:ascii="Arial" w:hAnsi="Arial" w:cs="Arial"/>
          <w:sz w:val="22"/>
          <w:szCs w:val="22"/>
        </w:rPr>
        <w:br/>
      </w:r>
      <w:r w:rsidRPr="00A10099">
        <w:rPr>
          <w:rFonts w:ascii="Arial" w:hAnsi="Arial" w:cs="Arial"/>
          <w:sz w:val="22"/>
          <w:szCs w:val="22"/>
        </w:rPr>
        <w:t>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AD18F2" w:rsidRPr="00A10099" w:rsidRDefault="00AD18F2" w:rsidP="001D29A1">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352E8F" w:rsidRPr="00246764" w:rsidRDefault="00352E8F" w:rsidP="00F90F6A">
      <w:pPr>
        <w:pStyle w:val="Akapitzlist"/>
        <w:spacing w:line="276" w:lineRule="auto"/>
        <w:ind w:left="426"/>
        <w:jc w:val="both"/>
        <w:rPr>
          <w:rFonts w:ascii="Arial" w:hAnsi="Arial" w:cs="Arial"/>
          <w:sz w:val="22"/>
          <w:szCs w:val="22"/>
        </w:rPr>
      </w:pPr>
      <w:r w:rsidRPr="00246764">
        <w:rPr>
          <w:rFonts w:ascii="Arial" w:hAnsi="Arial" w:cs="Arial"/>
          <w:sz w:val="22"/>
          <w:szCs w:val="22"/>
        </w:rPr>
        <w:t>33696500-0 – odczynniki laboratoryjne</w:t>
      </w:r>
    </w:p>
    <w:p w:rsidR="00352E8F" w:rsidRPr="00514FDA" w:rsidRDefault="00352E8F" w:rsidP="00F90F6A">
      <w:pPr>
        <w:pStyle w:val="Akapitzlist"/>
        <w:spacing w:line="276" w:lineRule="auto"/>
        <w:ind w:left="426"/>
        <w:jc w:val="both"/>
        <w:rPr>
          <w:rFonts w:ascii="Arial" w:hAnsi="Arial" w:cs="Arial"/>
          <w:sz w:val="22"/>
          <w:szCs w:val="22"/>
        </w:rPr>
      </w:pPr>
      <w:r w:rsidRPr="00514FDA">
        <w:rPr>
          <w:rFonts w:ascii="Arial" w:hAnsi="Arial" w:cs="Arial"/>
          <w:sz w:val="22"/>
          <w:szCs w:val="22"/>
        </w:rPr>
        <w:t xml:space="preserve">33124130-5 </w:t>
      </w:r>
      <w:r w:rsidR="00514FDA" w:rsidRPr="00246764">
        <w:rPr>
          <w:rFonts w:ascii="Arial" w:hAnsi="Arial" w:cs="Arial"/>
          <w:sz w:val="22"/>
          <w:szCs w:val="22"/>
        </w:rPr>
        <w:t>–</w:t>
      </w:r>
      <w:r w:rsidR="00514FDA">
        <w:rPr>
          <w:rFonts w:ascii="Arial" w:hAnsi="Arial" w:cs="Arial"/>
          <w:sz w:val="22"/>
          <w:szCs w:val="22"/>
        </w:rPr>
        <w:t xml:space="preserve"> </w:t>
      </w:r>
      <w:r w:rsidRPr="00514FDA">
        <w:rPr>
          <w:rFonts w:ascii="Arial" w:hAnsi="Arial" w:cs="Arial"/>
          <w:sz w:val="22"/>
          <w:szCs w:val="22"/>
        </w:rPr>
        <w:t>wyroby diagnostyczne</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dopuszcza składania ofert wariantowych.</w:t>
      </w:r>
    </w:p>
    <w:p w:rsidR="0089174C"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1D29A1">
      <w:pPr>
        <w:pStyle w:val="Akapitzlist"/>
        <w:numPr>
          <w:ilvl w:val="0"/>
          <w:numId w:val="34"/>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1731EA">
        <w:rPr>
          <w:rFonts w:ascii="Arial" w:eastAsia="Arial" w:hAnsi="Arial"/>
          <w:sz w:val="22"/>
          <w:szCs w:val="22"/>
          <w:lang w:eastAsia="pl-PL"/>
        </w:rPr>
        <w:t>12</w:t>
      </w:r>
      <w:r w:rsidR="00CC7AAE">
        <w:rPr>
          <w:rFonts w:ascii="Arial" w:eastAsia="Arial" w:hAnsi="Arial"/>
          <w:sz w:val="22"/>
          <w:szCs w:val="22"/>
          <w:lang w:eastAsia="pl-PL"/>
        </w:rPr>
        <w:t xml:space="preserve"> miesięcy </w:t>
      </w:r>
      <w:r w:rsidRPr="007363C1">
        <w:rPr>
          <w:rFonts w:ascii="Arial" w:eastAsia="Arial" w:hAnsi="Arial"/>
          <w:sz w:val="22"/>
          <w:szCs w:val="22"/>
          <w:lang w:eastAsia="pl-PL"/>
        </w:rPr>
        <w:t>od daty zawarcia umowy.</w:t>
      </w:r>
    </w:p>
    <w:p w:rsidR="0089174C" w:rsidRPr="007363C1" w:rsidRDefault="0089174C" w:rsidP="001D29A1">
      <w:pPr>
        <w:pStyle w:val="Akapitzlist"/>
        <w:numPr>
          <w:ilvl w:val="0"/>
          <w:numId w:val="34"/>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1D29A1">
      <w:pPr>
        <w:pStyle w:val="Akapitzlist"/>
        <w:numPr>
          <w:ilvl w:val="0"/>
          <w:numId w:val="35"/>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w:t>
      </w:r>
      <w:r w:rsidRPr="00805B05">
        <w:rPr>
          <w:rFonts w:ascii="Arial" w:hAnsi="Arial" w:cs="Arial"/>
          <w:color w:val="000000"/>
          <w:sz w:val="22"/>
          <w:szCs w:val="22"/>
          <w:lang w:eastAsia="pl-PL"/>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B720D6" w:rsidRPr="00EB2085" w:rsidRDefault="00527480" w:rsidP="00EB2085">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EB2085">
        <w:rPr>
          <w:rFonts w:ascii="Arial" w:eastAsia="Arial" w:hAnsi="Arial"/>
          <w:kern w:val="0"/>
          <w:sz w:val="22"/>
          <w:szCs w:val="22"/>
          <w:lang w:eastAsia="pl-PL" w:bidi="ar-SA"/>
        </w:rPr>
        <w:t xml:space="preserve">Zamawiający </w:t>
      </w:r>
      <w:r w:rsidR="00CF7A78" w:rsidRPr="00EB2085">
        <w:rPr>
          <w:rFonts w:ascii="Arial" w:eastAsia="Arial" w:hAnsi="Arial"/>
          <w:kern w:val="0"/>
          <w:sz w:val="22"/>
          <w:szCs w:val="22"/>
          <w:lang w:eastAsia="pl-PL" w:bidi="ar-SA"/>
        </w:rPr>
        <w:t xml:space="preserve">nie </w:t>
      </w:r>
      <w:r w:rsidRPr="00EB2085">
        <w:rPr>
          <w:rFonts w:ascii="Arial" w:eastAsia="Arial" w:hAnsi="Arial"/>
          <w:kern w:val="0"/>
          <w:sz w:val="22"/>
          <w:szCs w:val="22"/>
          <w:lang w:eastAsia="pl-PL" w:bidi="ar-SA"/>
        </w:rPr>
        <w:t xml:space="preserve">określa </w:t>
      </w:r>
      <w:r w:rsidRPr="00EB2085">
        <w:rPr>
          <w:rFonts w:ascii="Arial" w:eastAsia="Arial" w:hAnsi="Arial"/>
          <w:b/>
          <w:kern w:val="0"/>
          <w:sz w:val="22"/>
          <w:szCs w:val="22"/>
          <w:lang w:eastAsia="pl-PL" w:bidi="ar-SA"/>
        </w:rPr>
        <w:t>warunk</w:t>
      </w:r>
      <w:r w:rsidR="00CF7A78" w:rsidRPr="00EB2085">
        <w:rPr>
          <w:rFonts w:ascii="Arial" w:eastAsia="Arial" w:hAnsi="Arial"/>
          <w:b/>
          <w:kern w:val="0"/>
          <w:sz w:val="22"/>
          <w:szCs w:val="22"/>
          <w:lang w:eastAsia="pl-PL" w:bidi="ar-SA"/>
        </w:rPr>
        <w:t>ów</w:t>
      </w:r>
      <w:r w:rsidRPr="00EB2085">
        <w:rPr>
          <w:rFonts w:ascii="Arial" w:eastAsia="Arial" w:hAnsi="Arial"/>
          <w:b/>
          <w:kern w:val="0"/>
          <w:sz w:val="22"/>
          <w:szCs w:val="22"/>
          <w:lang w:eastAsia="pl-PL" w:bidi="ar-SA"/>
        </w:rPr>
        <w:t xml:space="preserve"> udziału w postępowaniu</w:t>
      </w:r>
      <w:r w:rsidR="00CF7A78" w:rsidRPr="00EB2085">
        <w:rPr>
          <w:rFonts w:ascii="Arial" w:eastAsia="Arial" w:hAnsi="Arial"/>
          <w:b/>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1D29A1">
      <w:pPr>
        <w:pStyle w:val="Akapitzlist"/>
        <w:numPr>
          <w:ilvl w:val="0"/>
          <w:numId w:val="3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1D29A1">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046DC2" w:rsidRPr="00553581" w:rsidRDefault="001731EA"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sidRPr="001731EA">
        <w:rPr>
          <w:rFonts w:ascii="Arial" w:hAnsi="Arial" w:cs="Arial"/>
          <w:sz w:val="22"/>
          <w:szCs w:val="22"/>
        </w:rPr>
        <w:t xml:space="preserve">ulotki, karty katalogowe, karty techniczne wyrobów </w:t>
      </w:r>
      <w:r w:rsidRPr="001731EA">
        <w:rPr>
          <w:rFonts w:ascii="Arial" w:eastAsia="SimSun" w:hAnsi="Arial" w:cs="Arial"/>
          <w:sz w:val="22"/>
          <w:szCs w:val="22"/>
        </w:rPr>
        <w:t>potwierdzające wymogi określone przez Zamawiającego</w:t>
      </w:r>
      <w:r w:rsidR="006252B4">
        <w:rPr>
          <w:rFonts w:ascii="Arial" w:eastAsia="SimSun" w:hAnsi="Arial" w:cs="Arial"/>
          <w:sz w:val="22"/>
          <w:szCs w:val="22"/>
        </w:rPr>
        <w:t>.</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B94759" w:rsidRDefault="00B94759" w:rsidP="001D29A1">
      <w:pPr>
        <w:pStyle w:val="Akapitzlist"/>
        <w:numPr>
          <w:ilvl w:val="0"/>
          <w:numId w:val="7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89174C" w:rsidRPr="00064240"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 xml:space="preserve">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będącym dowodem potwierdzający brak podstaw wykluczenia, spełnianie warunków udziału w postępowaniu</w:t>
      </w:r>
      <w:r w:rsidRPr="00064240">
        <w:rPr>
          <w:rFonts w:ascii="Arial" w:eastAsia="CIDFont+F6" w:hAnsi="Arial"/>
          <w:sz w:val="22"/>
          <w:szCs w:val="22"/>
          <w:lang w:eastAsia="pl-PL"/>
        </w:rPr>
        <w:t>.</w:t>
      </w:r>
    </w:p>
    <w:p w:rsidR="0089174C" w:rsidRPr="006C0AA7"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1D29A1">
      <w:pPr>
        <w:pStyle w:val="Akapitzlist"/>
        <w:numPr>
          <w:ilvl w:val="0"/>
          <w:numId w:val="70"/>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1D29A1">
      <w:pPr>
        <w:pStyle w:val="Akapitzlist"/>
        <w:numPr>
          <w:ilvl w:val="0"/>
          <w:numId w:val="39"/>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009E5473">
        <w:rPr>
          <w:rFonts w:ascii="Arial" w:hAnsi="Arial"/>
        </w:rPr>
        <w:t>32 67 40 361</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 xml:space="preserve">poza złożeniem oferty/wniosku </w:t>
      </w:r>
      <w:r w:rsidR="00890CD1">
        <w:rPr>
          <w:rFonts w:ascii="Arial" w:hAnsi="Arial"/>
          <w:kern w:val="0"/>
          <w:sz w:val="22"/>
          <w:szCs w:val="22"/>
          <w:lang w:eastAsia="pl-PL"/>
        </w:rPr>
        <w:br/>
      </w:r>
      <w:r>
        <w:rPr>
          <w:rFonts w:ascii="Arial" w:hAnsi="Arial"/>
          <w:kern w:val="0"/>
          <w:sz w:val="22"/>
          <w:szCs w:val="22"/>
          <w:lang w:eastAsia="pl-PL"/>
        </w:rPr>
        <w:t>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1D29A1">
      <w:pPr>
        <w:widowControl/>
        <w:numPr>
          <w:ilvl w:val="0"/>
          <w:numId w:val="39"/>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1D29A1">
      <w:pPr>
        <w:widowControl/>
        <w:numPr>
          <w:ilvl w:val="0"/>
          <w:numId w:val="39"/>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1D29A1">
      <w:pPr>
        <w:pStyle w:val="Akapitzlist"/>
        <w:numPr>
          <w:ilvl w:val="0"/>
          <w:numId w:val="40"/>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9E5473">
        <w:rPr>
          <w:rFonts w:ascii="Arial" w:eastAsia="CIDFont+F6" w:hAnsi="Arial"/>
          <w:b/>
          <w:sz w:val="22"/>
          <w:szCs w:val="22"/>
          <w:lang w:eastAsia="pl-PL"/>
        </w:rPr>
        <w:t>01.08</w:t>
      </w:r>
      <w:r w:rsidRPr="00212732">
        <w:rPr>
          <w:rFonts w:ascii="Arial" w:eastAsia="CIDFont+F6" w:hAnsi="Arial"/>
          <w:b/>
          <w:sz w:val="22"/>
          <w:szCs w:val="22"/>
          <w:lang w:eastAsia="pl-PL"/>
        </w:rPr>
        <w:t>.202</w:t>
      </w:r>
      <w:r w:rsidR="00E179D5">
        <w:rPr>
          <w:rFonts w:ascii="Arial" w:eastAsia="CIDFont+F6" w:hAnsi="Arial"/>
          <w:b/>
          <w:sz w:val="22"/>
          <w:szCs w:val="22"/>
          <w:lang w:eastAsia="pl-PL"/>
        </w:rPr>
        <w:t>2</w:t>
      </w:r>
      <w:r w:rsidRPr="00212732">
        <w:rPr>
          <w:rFonts w:ascii="Arial" w:eastAsia="CIDFont+F6" w:hAnsi="Arial"/>
          <w:b/>
          <w:sz w:val="22"/>
          <w:szCs w:val="22"/>
          <w:lang w:eastAsia="pl-PL"/>
        </w:rPr>
        <w:t xml:space="preserve"> r.</w:t>
      </w:r>
    </w:p>
    <w:p w:rsidR="0089174C"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1D29A1">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Pr="00A63D58"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FD17F4"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1D29A1">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8E161C" w:rsidRPr="00EB2085" w:rsidRDefault="009E5473" w:rsidP="00EB2085">
      <w:pPr>
        <w:pStyle w:val="Akapitzlist"/>
        <w:numPr>
          <w:ilvl w:val="0"/>
          <w:numId w:val="69"/>
        </w:numPr>
        <w:suppressAutoHyphens w:val="0"/>
        <w:spacing w:line="276" w:lineRule="auto"/>
        <w:contextualSpacing/>
        <w:jc w:val="both"/>
        <w:rPr>
          <w:rFonts w:ascii="Arial" w:hAnsi="Arial" w:cs="Arial"/>
          <w:sz w:val="22"/>
          <w:szCs w:val="22"/>
          <w:lang w:eastAsia="pl-PL"/>
        </w:rPr>
      </w:pPr>
      <w:r w:rsidRPr="001731EA">
        <w:rPr>
          <w:rFonts w:ascii="Arial" w:hAnsi="Arial" w:cs="Arial"/>
          <w:sz w:val="22"/>
          <w:szCs w:val="22"/>
        </w:rPr>
        <w:t xml:space="preserve">ulotki, karty katalogowe, karty techniczne wyrobów </w:t>
      </w:r>
      <w:r w:rsidRPr="001731EA">
        <w:rPr>
          <w:rFonts w:ascii="Arial" w:eastAsia="SimSun" w:hAnsi="Arial" w:cs="Arial"/>
          <w:sz w:val="22"/>
          <w:szCs w:val="22"/>
        </w:rPr>
        <w:t>potwierdzające wymogi określone przez Zamawiającego</w:t>
      </w:r>
      <w:r w:rsidR="00EB2085">
        <w:rPr>
          <w:rFonts w:ascii="Arial" w:eastAsia="SimSun" w:hAnsi="Arial" w:cs="Arial"/>
          <w:sz w:val="22"/>
          <w:szCs w:val="22"/>
        </w:rPr>
        <w:t>.</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Pr="00520464"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9E5473">
        <w:rPr>
          <w:rFonts w:ascii="Arial" w:eastAsia="Arial" w:hAnsi="Arial"/>
          <w:b/>
          <w:kern w:val="0"/>
          <w:sz w:val="22"/>
          <w:szCs w:val="20"/>
          <w:lang w:eastAsia="pl-PL" w:bidi="ar-SA"/>
        </w:rPr>
        <w:t>04.05</w:t>
      </w:r>
      <w:r w:rsidR="006377B3">
        <w:rPr>
          <w:rFonts w:ascii="Arial" w:eastAsia="Arial" w:hAnsi="Arial"/>
          <w:b/>
          <w:kern w:val="0"/>
          <w:sz w:val="22"/>
          <w:szCs w:val="20"/>
          <w:lang w:eastAsia="pl-PL" w:bidi="ar-SA"/>
        </w:rPr>
        <w:t>.</w:t>
      </w:r>
      <w:r w:rsidR="006252B4">
        <w:rPr>
          <w:rFonts w:ascii="Arial" w:eastAsia="Arial" w:hAnsi="Arial"/>
          <w:b/>
          <w:kern w:val="0"/>
          <w:sz w:val="22"/>
          <w:szCs w:val="20"/>
          <w:lang w:eastAsia="pl-PL" w:bidi="ar-SA"/>
        </w:rPr>
        <w:t>2022</w:t>
      </w:r>
      <w:r w:rsidRPr="00212732">
        <w:rPr>
          <w:rFonts w:ascii="Arial" w:eastAsia="Arial" w:hAnsi="Arial"/>
          <w:b/>
          <w:kern w:val="0"/>
          <w:sz w:val="22"/>
          <w:szCs w:val="20"/>
          <w:lang w:eastAsia="pl-PL" w:bidi="ar-SA"/>
        </w:rPr>
        <w:t xml:space="preserve">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1D29A1">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9E5473">
        <w:rPr>
          <w:rFonts w:ascii="Arial" w:eastAsia="Arial" w:hAnsi="Arial"/>
          <w:b/>
          <w:sz w:val="22"/>
          <w:szCs w:val="20"/>
          <w:lang w:eastAsia="pl-PL"/>
        </w:rPr>
        <w:t>05.05</w:t>
      </w:r>
      <w:r w:rsidR="006377B3">
        <w:rPr>
          <w:rFonts w:ascii="Arial" w:eastAsia="Arial" w:hAnsi="Arial"/>
          <w:b/>
          <w:sz w:val="22"/>
          <w:szCs w:val="20"/>
          <w:lang w:eastAsia="pl-PL"/>
        </w:rPr>
        <w:t>.</w:t>
      </w:r>
      <w:r w:rsidR="006252B4">
        <w:rPr>
          <w:rFonts w:ascii="Arial" w:eastAsia="Arial" w:hAnsi="Arial"/>
          <w:b/>
          <w:sz w:val="22"/>
          <w:szCs w:val="20"/>
          <w:lang w:eastAsia="pl-PL"/>
        </w:rPr>
        <w:t>2022</w:t>
      </w:r>
      <w:r w:rsidRPr="00212732">
        <w:rPr>
          <w:rFonts w:ascii="Arial" w:eastAsia="Arial" w:hAnsi="Arial"/>
          <w:b/>
          <w:sz w:val="22"/>
          <w:szCs w:val="20"/>
          <w:lang w:eastAsia="pl-PL"/>
        </w:rPr>
        <w:t xml:space="preserve">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1D29A1">
      <w:pPr>
        <w:pStyle w:val="Akapitzlist"/>
        <w:numPr>
          <w:ilvl w:val="0"/>
          <w:numId w:val="47"/>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1D29A1">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1D29A1">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1D29A1">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rsidR="007857DC" w:rsidRPr="0055115E" w:rsidRDefault="007857DC" w:rsidP="007857DC">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7857DC" w:rsidRPr="0055115E" w:rsidRDefault="007857DC" w:rsidP="007857DC">
      <w:pPr>
        <w:autoSpaceDE w:val="0"/>
        <w:adjustRightInd w:val="0"/>
        <w:spacing w:after="120"/>
        <w:ind w:left="284"/>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Termin dostaw</w:t>
      </w:r>
      <w:r w:rsidR="009E5473">
        <w:rPr>
          <w:rFonts w:ascii="Arial" w:eastAsia="Times New Roman" w:hAnsi="Arial"/>
          <w:b/>
          <w:sz w:val="22"/>
          <w:szCs w:val="22"/>
          <w:lang w:eastAsia="x-none"/>
        </w:rPr>
        <w:t xml:space="preserve"> cząstkowych</w:t>
      </w:r>
      <w:r w:rsidRPr="0055115E">
        <w:rPr>
          <w:rFonts w:ascii="Arial" w:eastAsia="Times New Roman" w:hAnsi="Arial"/>
          <w:b/>
          <w:sz w:val="22"/>
          <w:szCs w:val="22"/>
          <w:lang w:val="x-none" w:eastAsia="x-none"/>
        </w:rPr>
        <w:t xml:space="preserve"> – </w:t>
      </w:r>
      <w:r>
        <w:rPr>
          <w:rFonts w:ascii="Arial" w:eastAsia="Times New Roman" w:hAnsi="Arial"/>
          <w:b/>
          <w:sz w:val="22"/>
          <w:szCs w:val="22"/>
          <w:lang w:eastAsia="x-none"/>
        </w:rPr>
        <w:t>4</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7857DC" w:rsidRPr="007B1E4D" w:rsidRDefault="007857DC" w:rsidP="007857DC">
      <w:pPr>
        <w:widowControl/>
        <w:tabs>
          <w:tab w:val="left" w:pos="700"/>
        </w:tabs>
        <w:suppressAutoHyphens w:val="0"/>
        <w:autoSpaceDN/>
        <w:spacing w:after="120"/>
        <w:ind w:left="284"/>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7857DC" w:rsidRPr="007B1E4D" w:rsidRDefault="007857DC" w:rsidP="007857D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7857DC" w:rsidRPr="007B1E4D" w:rsidRDefault="007857DC" w:rsidP="007857DC">
      <w:pPr>
        <w:widowControl/>
        <w:suppressAutoHyphens w:val="0"/>
        <w:autoSpaceDN/>
        <w:textAlignment w:val="auto"/>
        <w:rPr>
          <w:rFonts w:ascii="Times New Roman" w:eastAsia="Times New Roman" w:hAnsi="Times New Roman"/>
          <w:kern w:val="0"/>
          <w:sz w:val="20"/>
          <w:szCs w:val="20"/>
          <w:lang w:eastAsia="pl-PL" w:bidi="ar-SA"/>
        </w:rPr>
      </w:pPr>
    </w:p>
    <w:p w:rsidR="007857DC" w:rsidRPr="004B6DB9" w:rsidRDefault="007857DC" w:rsidP="007857DC">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7857DC" w:rsidRPr="004B6DB9" w:rsidRDefault="007857DC" w:rsidP="007857DC">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7857DC" w:rsidRPr="004B6DB9" w:rsidRDefault="007857DC" w:rsidP="007857DC">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7857DC" w:rsidRPr="007B1E4D" w:rsidRDefault="007857DC" w:rsidP="007857DC">
      <w:pPr>
        <w:widowControl/>
        <w:suppressAutoHyphens w:val="0"/>
        <w:autoSpaceDN/>
        <w:textAlignment w:val="auto"/>
        <w:rPr>
          <w:rFonts w:ascii="Times New Roman" w:eastAsia="Times New Roman" w:hAnsi="Times New Roman"/>
          <w:kern w:val="0"/>
          <w:sz w:val="20"/>
          <w:szCs w:val="20"/>
          <w:lang w:eastAsia="pl-PL" w:bidi="ar-SA"/>
        </w:rPr>
      </w:pPr>
    </w:p>
    <w:p w:rsidR="007857DC" w:rsidRPr="007857DC" w:rsidRDefault="007857DC" w:rsidP="007857DC">
      <w:pPr>
        <w:suppressAutoHyphens w:val="0"/>
        <w:autoSpaceDN/>
        <w:spacing w:after="200" w:line="276" w:lineRule="auto"/>
        <w:ind w:left="284"/>
        <w:jc w:val="both"/>
        <w:textAlignment w:val="auto"/>
        <w:rPr>
          <w:rFonts w:ascii="Arial" w:eastAsia="Calibri" w:hAnsi="Arial"/>
          <w:sz w:val="22"/>
          <w:szCs w:val="22"/>
        </w:rPr>
      </w:pPr>
      <w:r w:rsidRPr="007857DC">
        <w:rPr>
          <w:rFonts w:ascii="Arial" w:eastAsia="Calibri" w:hAnsi="Arial"/>
          <w:b/>
          <w:sz w:val="22"/>
          <w:szCs w:val="22"/>
        </w:rPr>
        <w:t>Kryterium „Termin dostaw</w:t>
      </w:r>
      <w:r w:rsidR="009E5473">
        <w:rPr>
          <w:rFonts w:ascii="Arial" w:eastAsia="Calibri" w:hAnsi="Arial"/>
          <w:b/>
          <w:sz w:val="22"/>
          <w:szCs w:val="22"/>
        </w:rPr>
        <w:t xml:space="preserve"> cząstkowych</w:t>
      </w:r>
      <w:r w:rsidRPr="007857DC">
        <w:rPr>
          <w:rFonts w:ascii="Arial" w:eastAsia="Calibri" w:hAnsi="Arial"/>
          <w:b/>
          <w:sz w:val="22"/>
          <w:szCs w:val="22"/>
        </w:rPr>
        <w:t xml:space="preserve">” </w:t>
      </w:r>
      <w:r w:rsidRPr="007857DC">
        <w:rPr>
          <w:rFonts w:ascii="Arial" w:eastAsia="Calibri" w:hAnsi="Arial"/>
          <w:sz w:val="22"/>
          <w:szCs w:val="22"/>
        </w:rPr>
        <w:t>będzie liczone w następujący sposób: najwyższą liczbę punktów za to kryterium (40 pkt) otrzyma oferta o najkrótszym terminie dostawy</w:t>
      </w:r>
      <w:r w:rsidR="009E5473">
        <w:rPr>
          <w:rFonts w:ascii="Arial" w:eastAsia="Calibri" w:hAnsi="Arial"/>
          <w:sz w:val="22"/>
          <w:szCs w:val="22"/>
        </w:rPr>
        <w:t xml:space="preserve"> </w:t>
      </w:r>
      <w:proofErr w:type="spellStart"/>
      <w:r w:rsidR="009E5473">
        <w:rPr>
          <w:rFonts w:ascii="Arial" w:eastAsia="Calibri" w:hAnsi="Arial"/>
          <w:sz w:val="22"/>
          <w:szCs w:val="22"/>
        </w:rPr>
        <w:t>cąstkowej</w:t>
      </w:r>
      <w:proofErr w:type="spellEnd"/>
      <w:r w:rsidRPr="007857DC">
        <w:rPr>
          <w:rFonts w:ascii="Arial" w:eastAsia="Calibri" w:hAnsi="Arial"/>
          <w:sz w:val="22"/>
          <w:szCs w:val="22"/>
        </w:rPr>
        <w:t xml:space="preserve"> (wykazanym </w:t>
      </w:r>
      <w:r w:rsidR="009E5473">
        <w:rPr>
          <w:rFonts w:ascii="Arial" w:eastAsia="Calibri" w:hAnsi="Arial"/>
          <w:sz w:val="22"/>
          <w:szCs w:val="22"/>
        </w:rPr>
        <w:br/>
      </w:r>
      <w:r w:rsidRPr="007857DC">
        <w:rPr>
          <w:rFonts w:ascii="Arial" w:eastAsia="Calibri" w:hAnsi="Arial"/>
          <w:sz w:val="22"/>
          <w:szCs w:val="22"/>
        </w:rPr>
        <w:t>w Formularzu ofertowym</w:t>
      </w:r>
      <w:r>
        <w:rPr>
          <w:rFonts w:ascii="Arial" w:eastAsia="Calibri" w:hAnsi="Arial"/>
          <w:sz w:val="22"/>
          <w:szCs w:val="22"/>
        </w:rPr>
        <w:t>), p</w:t>
      </w:r>
      <w:r w:rsidRPr="007857DC">
        <w:rPr>
          <w:rFonts w:ascii="Arial" w:eastAsia="Calibri" w:hAnsi="Arial"/>
          <w:sz w:val="22"/>
          <w:szCs w:val="22"/>
        </w:rPr>
        <w:t>ozostali Wykonawcy odpowiednio mniej, stosownie do wzoru:</w:t>
      </w:r>
    </w:p>
    <w:p w:rsidR="009E5473" w:rsidRDefault="009E5473" w:rsidP="007857DC">
      <w:pPr>
        <w:ind w:left="2410"/>
        <w:rPr>
          <w:rFonts w:ascii="Arial" w:eastAsia="Calibri" w:hAnsi="Arial"/>
          <w:sz w:val="22"/>
          <w:szCs w:val="22"/>
        </w:rPr>
      </w:pPr>
    </w:p>
    <w:p w:rsidR="007857DC" w:rsidRPr="0055115E" w:rsidRDefault="007857DC" w:rsidP="007857DC">
      <w:pPr>
        <w:ind w:left="2410"/>
        <w:rPr>
          <w:rFonts w:ascii="Arial" w:eastAsia="Calibri" w:hAnsi="Arial"/>
          <w:sz w:val="22"/>
          <w:szCs w:val="22"/>
        </w:rPr>
      </w:pPr>
      <w:r w:rsidRPr="0055115E">
        <w:rPr>
          <w:rFonts w:ascii="Arial" w:eastAsia="Calibri" w:hAnsi="Arial"/>
          <w:sz w:val="22"/>
          <w:szCs w:val="22"/>
        </w:rPr>
        <w:t>najkró</w:t>
      </w:r>
      <w:r w:rsidR="009E5473">
        <w:rPr>
          <w:rFonts w:ascii="Arial" w:eastAsia="Calibri" w:hAnsi="Arial"/>
          <w:sz w:val="22"/>
          <w:szCs w:val="22"/>
        </w:rPr>
        <w:t>tszy zaoferowany termin dostaw cząstkowych</w:t>
      </w:r>
    </w:p>
    <w:p w:rsidR="007857DC" w:rsidRPr="0055115E" w:rsidRDefault="007857DC" w:rsidP="007857DC">
      <w:pPr>
        <w:ind w:left="284"/>
        <w:jc w:val="center"/>
        <w:rPr>
          <w:rFonts w:ascii="Arial" w:eastAsia="Calibri" w:hAnsi="Arial"/>
          <w:sz w:val="22"/>
          <w:szCs w:val="22"/>
          <w:vertAlign w:val="subscript"/>
        </w:rPr>
      </w:pPr>
      <w:r>
        <w:rPr>
          <w:rFonts w:ascii="Arial" w:eastAsia="Calibri" w:hAnsi="Arial"/>
          <w:sz w:val="22"/>
          <w:szCs w:val="22"/>
        </w:rPr>
        <w:t>C</w:t>
      </w:r>
      <w:r w:rsidRPr="0055115E">
        <w:rPr>
          <w:rFonts w:ascii="Arial" w:eastAsia="Calibri" w:hAnsi="Arial"/>
          <w:sz w:val="22"/>
          <w:szCs w:val="22"/>
        </w:rPr>
        <w:t xml:space="preserve"> = ------------------------------------------------------------------------- x </w:t>
      </w:r>
      <w:r>
        <w:rPr>
          <w:rFonts w:ascii="Arial" w:eastAsia="Calibri" w:hAnsi="Arial"/>
          <w:sz w:val="22"/>
          <w:szCs w:val="22"/>
        </w:rPr>
        <w:t>40</w:t>
      </w:r>
      <w:r w:rsidRPr="0055115E">
        <w:rPr>
          <w:rFonts w:ascii="Arial" w:eastAsia="Calibri" w:hAnsi="Arial"/>
          <w:sz w:val="22"/>
          <w:szCs w:val="22"/>
        </w:rPr>
        <w:t xml:space="preserve"> punktów</w:t>
      </w:r>
    </w:p>
    <w:p w:rsidR="007857DC" w:rsidRPr="0055115E" w:rsidRDefault="007857DC" w:rsidP="007857DC">
      <w:pPr>
        <w:tabs>
          <w:tab w:val="left" w:pos="3240"/>
        </w:tabs>
        <w:spacing w:after="240"/>
        <w:ind w:left="2552"/>
        <w:rPr>
          <w:rFonts w:ascii="Arial" w:eastAsia="Calibri" w:hAnsi="Arial"/>
          <w:sz w:val="22"/>
          <w:szCs w:val="22"/>
        </w:rPr>
      </w:pPr>
      <w:r w:rsidRPr="0055115E">
        <w:rPr>
          <w:rFonts w:ascii="Arial" w:eastAsia="Calibri" w:hAnsi="Arial"/>
          <w:sz w:val="22"/>
          <w:szCs w:val="22"/>
        </w:rPr>
        <w:t>termin dostawy oferty badanej</w:t>
      </w:r>
    </w:p>
    <w:p w:rsidR="007857DC" w:rsidRPr="0055115E" w:rsidRDefault="007857DC" w:rsidP="007857DC">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7857DC" w:rsidRDefault="007857DC" w:rsidP="007857DC">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 xml:space="preserve">Termin dostawy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sidR="006252B4">
        <w:rPr>
          <w:rFonts w:ascii="Arial" w:eastAsia="Calibri" w:hAnsi="Arial"/>
          <w:b/>
          <w:sz w:val="22"/>
          <w:szCs w:val="22"/>
        </w:rPr>
        <w:t>5</w:t>
      </w:r>
      <w:r>
        <w:rPr>
          <w:rFonts w:ascii="Arial" w:eastAsia="Calibri" w:hAnsi="Arial"/>
          <w:b/>
          <w:sz w:val="22"/>
          <w:szCs w:val="22"/>
        </w:rPr>
        <w:t xml:space="preserve"> dni</w:t>
      </w:r>
      <w:r w:rsidR="006252B4">
        <w:rPr>
          <w:rFonts w:ascii="Arial" w:eastAsia="Calibri" w:hAnsi="Arial"/>
          <w:b/>
          <w:sz w:val="22"/>
          <w:szCs w:val="22"/>
        </w:rPr>
        <w:t xml:space="preserve"> roboczych</w:t>
      </w:r>
      <w:r w:rsidRPr="0055115E">
        <w:rPr>
          <w:rFonts w:ascii="Arial" w:eastAsia="Calibri" w:hAnsi="Arial"/>
          <w:sz w:val="22"/>
          <w:szCs w:val="22"/>
        </w:rPr>
        <w:t xml:space="preserve">). </w:t>
      </w:r>
      <w:r w:rsidRPr="0055115E">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rsidR="0089174C" w:rsidRPr="00200146" w:rsidRDefault="0089174C" w:rsidP="001D29A1">
      <w:pPr>
        <w:widowControl/>
        <w:numPr>
          <w:ilvl w:val="0"/>
          <w:numId w:val="53"/>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W przypadku</w:t>
      </w:r>
      <w:r w:rsidR="009E5473">
        <w:rPr>
          <w:rFonts w:ascii="Arial" w:eastAsia="CIDFont+F6" w:hAnsi="Arial"/>
          <w:kern w:val="0"/>
          <w:sz w:val="22"/>
          <w:szCs w:val="22"/>
          <w:lang w:eastAsia="pl-PL" w:bidi="ar-SA"/>
        </w:rPr>
        <w:t>,</w:t>
      </w:r>
      <w:r w:rsidRPr="00A13613">
        <w:rPr>
          <w:rFonts w:ascii="Arial" w:eastAsia="CIDFont+F6" w:hAnsi="Arial"/>
          <w:kern w:val="0"/>
          <w:sz w:val="22"/>
          <w:szCs w:val="22"/>
          <w:lang w:eastAsia="pl-PL" w:bidi="ar-SA"/>
        </w:rPr>
        <w:t xml:space="preserve">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1D29A1">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1D29A1">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1D29A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8B25E0">
        <w:rPr>
          <w:rFonts w:ascii="Arial" w:hAnsi="Arial"/>
          <w:sz w:val="22"/>
          <w:szCs w:val="22"/>
        </w:rPr>
        <w:t>Tomasz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w:t>
      </w:r>
      <w:r w:rsidR="00EF6EA4" w:rsidRPr="0025642A">
        <w:rPr>
          <w:rFonts w:ascii="Arial" w:hAnsi="Arial"/>
          <w:sz w:val="22"/>
          <w:szCs w:val="22"/>
        </w:rPr>
        <w:t xml:space="preserve">art. </w:t>
      </w:r>
      <w:r w:rsidR="00EF6EA4" w:rsidRPr="00FC1325">
        <w:rPr>
          <w:rFonts w:ascii="Arial" w:hAnsi="Arial"/>
          <w:sz w:val="22"/>
          <w:szCs w:val="22"/>
        </w:rPr>
        <w:t xml:space="preserve">18 oraz art. 74 ust. </w:t>
      </w:r>
      <w:r w:rsidR="00EF6EA4">
        <w:rPr>
          <w:rFonts w:ascii="Arial" w:hAnsi="Arial"/>
          <w:sz w:val="22"/>
          <w:szCs w:val="22"/>
        </w:rPr>
        <w:t>4</w:t>
      </w:r>
      <w:r w:rsidR="00EF6EA4" w:rsidRPr="0025642A">
        <w:rPr>
          <w:rFonts w:ascii="Arial" w:hAnsi="Arial"/>
          <w:sz w:val="22"/>
          <w:szCs w:val="22"/>
        </w:rPr>
        <w:t xml:space="preserve"> ustawy z dnia </w:t>
      </w:r>
      <w:r w:rsidR="00EF6EA4">
        <w:rPr>
          <w:rFonts w:ascii="Arial" w:hAnsi="Arial"/>
          <w:sz w:val="22"/>
          <w:szCs w:val="22"/>
        </w:rPr>
        <w:t>11 września 2019</w:t>
      </w:r>
      <w:r w:rsidR="00EF6EA4" w:rsidRPr="0025642A">
        <w:rPr>
          <w:rFonts w:ascii="Arial" w:hAnsi="Arial"/>
          <w:sz w:val="22"/>
          <w:szCs w:val="22"/>
        </w:rPr>
        <w:t xml:space="preserve"> </w:t>
      </w:r>
      <w:r w:rsidRPr="0025642A">
        <w:rPr>
          <w:rFonts w:ascii="Arial" w:hAnsi="Arial"/>
          <w:sz w:val="22"/>
          <w:szCs w:val="22"/>
        </w:rPr>
        <w:t>r. – Prawo zamówień publicznych (</w:t>
      </w:r>
      <w:r w:rsidRPr="0025642A">
        <w:rPr>
          <w:rFonts w:ascii="Arial" w:hAnsi="Arial"/>
          <w:color w:val="000000"/>
          <w:sz w:val="22"/>
          <w:szCs w:val="22"/>
          <w:lang w:eastAsia="pl-PL"/>
        </w:rPr>
        <w:t>tj. Dz. U. 20</w:t>
      </w:r>
      <w:r w:rsidR="008B6BBC">
        <w:rPr>
          <w:rFonts w:ascii="Arial" w:hAnsi="Arial"/>
          <w:color w:val="000000"/>
          <w:sz w:val="22"/>
          <w:szCs w:val="22"/>
          <w:lang w:eastAsia="pl-PL"/>
        </w:rPr>
        <w:t>2</w:t>
      </w:r>
      <w:r w:rsidRPr="0025642A">
        <w:rPr>
          <w:rFonts w:ascii="Arial" w:hAnsi="Arial"/>
          <w:color w:val="000000"/>
          <w:sz w:val="22"/>
          <w:szCs w:val="22"/>
          <w:lang w:eastAsia="pl-PL"/>
        </w:rPr>
        <w:t xml:space="preserve">1 r. poz. </w:t>
      </w:r>
      <w:r w:rsidR="008B6BBC">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Pr="0025642A"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1D29A1">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1D29A1">
      <w:pPr>
        <w:pStyle w:val="Akapitzlist"/>
        <w:numPr>
          <w:ilvl w:val="0"/>
          <w:numId w:val="61"/>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1D29A1">
      <w:pPr>
        <w:pStyle w:val="Akapitzlist"/>
        <w:numPr>
          <w:ilvl w:val="0"/>
          <w:numId w:val="61"/>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1D29A1">
      <w:pPr>
        <w:pStyle w:val="Akapitzlist"/>
        <w:numPr>
          <w:ilvl w:val="0"/>
          <w:numId w:val="60"/>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1D29A1">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1D29A1">
      <w:pPr>
        <w:pStyle w:val="Akapitzlist"/>
        <w:numPr>
          <w:ilvl w:val="0"/>
          <w:numId w:val="6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1D29A1">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Pr="00657D55"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w:t>
      </w:r>
      <w:bookmarkStart w:id="0" w:name="_GoBack"/>
      <w:bookmarkEnd w:id="0"/>
      <w:r w:rsidR="00C976FD" w:rsidRPr="00657D55">
        <w:rPr>
          <w:rFonts w:ascii="Arial" w:hAnsi="Arial"/>
        </w:rPr>
        <w:t>- załącznik nr 4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B7" w:rsidRDefault="00921CB7">
      <w:r>
        <w:separator/>
      </w:r>
    </w:p>
  </w:endnote>
  <w:endnote w:type="continuationSeparator" w:id="0">
    <w:p w:rsidR="00921CB7" w:rsidRDefault="0092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86204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86204E">
      <w:rPr>
        <w:rFonts w:ascii="Ubuntu, Arial" w:hAnsi="Ubuntu, Arial" w:cs="Ubuntu, Arial"/>
        <w:bCs/>
        <w:noProof/>
        <w:sz w:val="16"/>
        <w:szCs w:val="16"/>
      </w:rPr>
      <w:t>14</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B7" w:rsidRDefault="00921CB7">
      <w:r>
        <w:rPr>
          <w:color w:val="000000"/>
        </w:rPr>
        <w:separator/>
      </w:r>
    </w:p>
  </w:footnote>
  <w:footnote w:type="continuationSeparator" w:id="0">
    <w:p w:rsidR="00921CB7" w:rsidRDefault="00921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4">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5"/>
  </w:num>
  <w:num w:numId="2">
    <w:abstractNumId w:val="36"/>
  </w:num>
  <w:num w:numId="3">
    <w:abstractNumId w:val="12"/>
  </w:num>
  <w:num w:numId="4">
    <w:abstractNumId w:val="17"/>
  </w:num>
  <w:num w:numId="5">
    <w:abstractNumId w:val="20"/>
  </w:num>
  <w:num w:numId="6">
    <w:abstractNumId w:val="41"/>
  </w:num>
  <w:num w:numId="7">
    <w:abstractNumId w:val="53"/>
  </w:num>
  <w:num w:numId="8">
    <w:abstractNumId w:val="52"/>
  </w:num>
  <w:num w:numId="9">
    <w:abstractNumId w:val="68"/>
  </w:num>
  <w:num w:numId="10">
    <w:abstractNumId w:val="59"/>
  </w:num>
  <w:num w:numId="11">
    <w:abstractNumId w:val="25"/>
  </w:num>
  <w:num w:numId="12">
    <w:abstractNumId w:val="22"/>
  </w:num>
  <w:num w:numId="13">
    <w:abstractNumId w:val="9"/>
  </w:num>
  <w:num w:numId="14">
    <w:abstractNumId w:val="32"/>
  </w:num>
  <w:num w:numId="15">
    <w:abstractNumId w:val="6"/>
  </w:num>
  <w:num w:numId="16">
    <w:abstractNumId w:val="56"/>
  </w:num>
  <w:num w:numId="17">
    <w:abstractNumId w:val="5"/>
  </w:num>
  <w:num w:numId="18">
    <w:abstractNumId w:val="45"/>
  </w:num>
  <w:num w:numId="19">
    <w:abstractNumId w:val="70"/>
  </w:num>
  <w:num w:numId="20">
    <w:abstractNumId w:val="55"/>
  </w:num>
  <w:num w:numId="21">
    <w:abstractNumId w:val="23"/>
  </w:num>
  <w:num w:numId="22">
    <w:abstractNumId w:val="10"/>
  </w:num>
  <w:num w:numId="23">
    <w:abstractNumId w:val="71"/>
  </w:num>
  <w:num w:numId="24">
    <w:abstractNumId w:val="0"/>
  </w:num>
  <w:num w:numId="25">
    <w:abstractNumId w:val="1"/>
  </w:num>
  <w:num w:numId="26">
    <w:abstractNumId w:val="2"/>
  </w:num>
  <w:num w:numId="27">
    <w:abstractNumId w:val="4"/>
  </w:num>
  <w:num w:numId="28">
    <w:abstractNumId w:val="51"/>
  </w:num>
  <w:num w:numId="29">
    <w:abstractNumId w:val="1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6"/>
  </w:num>
  <w:num w:numId="33">
    <w:abstractNumId w:val="8"/>
  </w:num>
  <w:num w:numId="34">
    <w:abstractNumId w:val="67"/>
  </w:num>
  <w:num w:numId="35">
    <w:abstractNumId w:val="26"/>
  </w:num>
  <w:num w:numId="36">
    <w:abstractNumId w:val="28"/>
  </w:num>
  <w:num w:numId="37">
    <w:abstractNumId w:val="66"/>
  </w:num>
  <w:num w:numId="38">
    <w:abstractNumId w:val="57"/>
  </w:num>
  <w:num w:numId="39">
    <w:abstractNumId w:val="39"/>
  </w:num>
  <w:num w:numId="40">
    <w:abstractNumId w:val="37"/>
  </w:num>
  <w:num w:numId="41">
    <w:abstractNumId w:val="54"/>
  </w:num>
  <w:num w:numId="42">
    <w:abstractNumId w:val="43"/>
  </w:num>
  <w:num w:numId="43">
    <w:abstractNumId w:val="42"/>
  </w:num>
  <w:num w:numId="44">
    <w:abstractNumId w:val="7"/>
  </w:num>
  <w:num w:numId="45">
    <w:abstractNumId w:val="46"/>
  </w:num>
  <w:num w:numId="46">
    <w:abstractNumId w:val="31"/>
  </w:num>
  <w:num w:numId="47">
    <w:abstractNumId w:val="47"/>
  </w:num>
  <w:num w:numId="48">
    <w:abstractNumId w:val="19"/>
  </w:num>
  <w:num w:numId="49">
    <w:abstractNumId w:val="21"/>
  </w:num>
  <w:num w:numId="50">
    <w:abstractNumId w:val="61"/>
  </w:num>
  <w:num w:numId="51">
    <w:abstractNumId w:val="30"/>
  </w:num>
  <w:num w:numId="52">
    <w:abstractNumId w:val="34"/>
  </w:num>
  <w:num w:numId="5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27"/>
  </w:num>
  <w:num w:numId="56">
    <w:abstractNumId w:val="15"/>
  </w:num>
  <w:num w:numId="57">
    <w:abstractNumId w:val="33"/>
  </w:num>
  <w:num w:numId="58">
    <w:abstractNumId w:val="64"/>
  </w:num>
  <w:num w:numId="59">
    <w:abstractNumId w:val="11"/>
  </w:num>
  <w:num w:numId="60">
    <w:abstractNumId w:val="40"/>
  </w:num>
  <w:num w:numId="61">
    <w:abstractNumId w:val="18"/>
  </w:num>
  <w:num w:numId="62">
    <w:abstractNumId w:val="35"/>
  </w:num>
  <w:num w:numId="63">
    <w:abstractNumId w:val="60"/>
  </w:num>
  <w:num w:numId="64">
    <w:abstractNumId w:val="49"/>
  </w:num>
  <w:num w:numId="65">
    <w:abstractNumId w:val="48"/>
  </w:num>
  <w:num w:numId="66">
    <w:abstractNumId w:val="50"/>
  </w:num>
  <w:num w:numId="67">
    <w:abstractNumId w:val="38"/>
  </w:num>
  <w:num w:numId="68">
    <w:abstractNumId w:val="62"/>
  </w:num>
  <w:num w:numId="69">
    <w:abstractNumId w:val="69"/>
  </w:num>
  <w:num w:numId="70">
    <w:abstractNumId w:val="63"/>
  </w:num>
  <w:num w:numId="71">
    <w:abstractNumId w:val="29"/>
  </w:num>
  <w:num w:numId="72">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6192"/>
    <w:rsid w:val="00046DC2"/>
    <w:rsid w:val="0004710F"/>
    <w:rsid w:val="00050C71"/>
    <w:rsid w:val="00051598"/>
    <w:rsid w:val="00057640"/>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028"/>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285B"/>
    <w:rsid w:val="0014311D"/>
    <w:rsid w:val="00143632"/>
    <w:rsid w:val="001512AD"/>
    <w:rsid w:val="00153DAA"/>
    <w:rsid w:val="001541DA"/>
    <w:rsid w:val="00167B8C"/>
    <w:rsid w:val="001731EA"/>
    <w:rsid w:val="00175BC6"/>
    <w:rsid w:val="00190BD0"/>
    <w:rsid w:val="001B0866"/>
    <w:rsid w:val="001B13FB"/>
    <w:rsid w:val="001B3784"/>
    <w:rsid w:val="001B43FA"/>
    <w:rsid w:val="001C59ED"/>
    <w:rsid w:val="001D0872"/>
    <w:rsid w:val="001D2729"/>
    <w:rsid w:val="001D29A1"/>
    <w:rsid w:val="001D6ED0"/>
    <w:rsid w:val="001D7E94"/>
    <w:rsid w:val="001F0771"/>
    <w:rsid w:val="001F2413"/>
    <w:rsid w:val="001F5AD5"/>
    <w:rsid w:val="001F6CB3"/>
    <w:rsid w:val="00200146"/>
    <w:rsid w:val="00201F25"/>
    <w:rsid w:val="00206577"/>
    <w:rsid w:val="00206734"/>
    <w:rsid w:val="00207F67"/>
    <w:rsid w:val="00212732"/>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453E"/>
    <w:rsid w:val="00297C64"/>
    <w:rsid w:val="00297DFB"/>
    <w:rsid w:val="002A0352"/>
    <w:rsid w:val="002A6DE5"/>
    <w:rsid w:val="002B1E2E"/>
    <w:rsid w:val="002C05C7"/>
    <w:rsid w:val="002C5BCD"/>
    <w:rsid w:val="002E0492"/>
    <w:rsid w:val="002E35C2"/>
    <w:rsid w:val="002E3EF0"/>
    <w:rsid w:val="002E6225"/>
    <w:rsid w:val="002E7FED"/>
    <w:rsid w:val="002F038E"/>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2E67"/>
    <w:rsid w:val="00434B96"/>
    <w:rsid w:val="00440750"/>
    <w:rsid w:val="00447BC2"/>
    <w:rsid w:val="00455FB5"/>
    <w:rsid w:val="00464586"/>
    <w:rsid w:val="00475148"/>
    <w:rsid w:val="00476903"/>
    <w:rsid w:val="0048053D"/>
    <w:rsid w:val="00487181"/>
    <w:rsid w:val="00490CAC"/>
    <w:rsid w:val="004A4D67"/>
    <w:rsid w:val="004B22B6"/>
    <w:rsid w:val="004B23FD"/>
    <w:rsid w:val="004B2F1C"/>
    <w:rsid w:val="004B6DB9"/>
    <w:rsid w:val="004D1351"/>
    <w:rsid w:val="004D5D4E"/>
    <w:rsid w:val="004E1EF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521B8"/>
    <w:rsid w:val="00553581"/>
    <w:rsid w:val="00562B23"/>
    <w:rsid w:val="005809C4"/>
    <w:rsid w:val="00580ACF"/>
    <w:rsid w:val="00582DB8"/>
    <w:rsid w:val="00586C0F"/>
    <w:rsid w:val="005878FC"/>
    <w:rsid w:val="00593391"/>
    <w:rsid w:val="005A2C64"/>
    <w:rsid w:val="005B3B9E"/>
    <w:rsid w:val="005B4A66"/>
    <w:rsid w:val="005B4A85"/>
    <w:rsid w:val="005B5E37"/>
    <w:rsid w:val="005B6491"/>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252B4"/>
    <w:rsid w:val="00631853"/>
    <w:rsid w:val="006338EB"/>
    <w:rsid w:val="006377B3"/>
    <w:rsid w:val="00640CB1"/>
    <w:rsid w:val="00641046"/>
    <w:rsid w:val="00647DD1"/>
    <w:rsid w:val="006503DE"/>
    <w:rsid w:val="006541FA"/>
    <w:rsid w:val="00655522"/>
    <w:rsid w:val="006564B9"/>
    <w:rsid w:val="00657D55"/>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6F6F8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72A5C"/>
    <w:rsid w:val="00772B0B"/>
    <w:rsid w:val="0077490D"/>
    <w:rsid w:val="00774E48"/>
    <w:rsid w:val="00775738"/>
    <w:rsid w:val="00777A8D"/>
    <w:rsid w:val="00782484"/>
    <w:rsid w:val="007857DC"/>
    <w:rsid w:val="00787C19"/>
    <w:rsid w:val="00792A8B"/>
    <w:rsid w:val="00795E53"/>
    <w:rsid w:val="00796D1B"/>
    <w:rsid w:val="007A5782"/>
    <w:rsid w:val="007A75F5"/>
    <w:rsid w:val="007A7C2B"/>
    <w:rsid w:val="007B3356"/>
    <w:rsid w:val="007B4FE0"/>
    <w:rsid w:val="007B701B"/>
    <w:rsid w:val="007C2E61"/>
    <w:rsid w:val="007E4E05"/>
    <w:rsid w:val="007E5AD5"/>
    <w:rsid w:val="007F335E"/>
    <w:rsid w:val="007F57DB"/>
    <w:rsid w:val="00802560"/>
    <w:rsid w:val="0080490E"/>
    <w:rsid w:val="0080577A"/>
    <w:rsid w:val="00805B05"/>
    <w:rsid w:val="00812762"/>
    <w:rsid w:val="00817B3B"/>
    <w:rsid w:val="00826FCA"/>
    <w:rsid w:val="00831D61"/>
    <w:rsid w:val="00845002"/>
    <w:rsid w:val="00846A94"/>
    <w:rsid w:val="00850B22"/>
    <w:rsid w:val="00856DC3"/>
    <w:rsid w:val="008573BA"/>
    <w:rsid w:val="008605A8"/>
    <w:rsid w:val="0086204E"/>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6BBC"/>
    <w:rsid w:val="008C4EB6"/>
    <w:rsid w:val="008D175B"/>
    <w:rsid w:val="008D5C93"/>
    <w:rsid w:val="008E161C"/>
    <w:rsid w:val="008E3CFB"/>
    <w:rsid w:val="008E45AE"/>
    <w:rsid w:val="008F41ED"/>
    <w:rsid w:val="00900BF6"/>
    <w:rsid w:val="0091635A"/>
    <w:rsid w:val="00917BC9"/>
    <w:rsid w:val="00921CB7"/>
    <w:rsid w:val="0092257D"/>
    <w:rsid w:val="00927462"/>
    <w:rsid w:val="009354CF"/>
    <w:rsid w:val="009358D0"/>
    <w:rsid w:val="00940753"/>
    <w:rsid w:val="00946DEF"/>
    <w:rsid w:val="00956E71"/>
    <w:rsid w:val="009572C0"/>
    <w:rsid w:val="0096058A"/>
    <w:rsid w:val="009616AB"/>
    <w:rsid w:val="00962C7E"/>
    <w:rsid w:val="009656E6"/>
    <w:rsid w:val="00971D35"/>
    <w:rsid w:val="00972EE5"/>
    <w:rsid w:val="009775B8"/>
    <w:rsid w:val="009975AF"/>
    <w:rsid w:val="009A36F5"/>
    <w:rsid w:val="009A4837"/>
    <w:rsid w:val="009A5311"/>
    <w:rsid w:val="009A71B4"/>
    <w:rsid w:val="009A7BC5"/>
    <w:rsid w:val="009B01EC"/>
    <w:rsid w:val="009B0683"/>
    <w:rsid w:val="009B1532"/>
    <w:rsid w:val="009B2581"/>
    <w:rsid w:val="009B608C"/>
    <w:rsid w:val="009B6B09"/>
    <w:rsid w:val="009C7C22"/>
    <w:rsid w:val="009D0874"/>
    <w:rsid w:val="009D1259"/>
    <w:rsid w:val="009D1657"/>
    <w:rsid w:val="009E18FD"/>
    <w:rsid w:val="009E2156"/>
    <w:rsid w:val="009E3284"/>
    <w:rsid w:val="009E32D6"/>
    <w:rsid w:val="009E4A37"/>
    <w:rsid w:val="009E5473"/>
    <w:rsid w:val="009E6589"/>
    <w:rsid w:val="009E7864"/>
    <w:rsid w:val="009E7D9D"/>
    <w:rsid w:val="009F3F66"/>
    <w:rsid w:val="009F4454"/>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1AF3"/>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6B6C"/>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0D6"/>
    <w:rsid w:val="00B725B8"/>
    <w:rsid w:val="00B82645"/>
    <w:rsid w:val="00B836F6"/>
    <w:rsid w:val="00B94759"/>
    <w:rsid w:val="00B95585"/>
    <w:rsid w:val="00B96FDC"/>
    <w:rsid w:val="00B97808"/>
    <w:rsid w:val="00BA4F4D"/>
    <w:rsid w:val="00BA6E32"/>
    <w:rsid w:val="00BB6008"/>
    <w:rsid w:val="00BB61A1"/>
    <w:rsid w:val="00BC06E6"/>
    <w:rsid w:val="00BC52DE"/>
    <w:rsid w:val="00BC77EB"/>
    <w:rsid w:val="00BD1534"/>
    <w:rsid w:val="00BD2D95"/>
    <w:rsid w:val="00BD5D1D"/>
    <w:rsid w:val="00BE76D4"/>
    <w:rsid w:val="00BF4030"/>
    <w:rsid w:val="00BF4FBF"/>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6472F"/>
    <w:rsid w:val="00C64DD9"/>
    <w:rsid w:val="00C67110"/>
    <w:rsid w:val="00C73934"/>
    <w:rsid w:val="00C757C8"/>
    <w:rsid w:val="00C87099"/>
    <w:rsid w:val="00C87125"/>
    <w:rsid w:val="00C976FD"/>
    <w:rsid w:val="00CA6052"/>
    <w:rsid w:val="00CA68C2"/>
    <w:rsid w:val="00CB00B0"/>
    <w:rsid w:val="00CB0205"/>
    <w:rsid w:val="00CB1D23"/>
    <w:rsid w:val="00CB634D"/>
    <w:rsid w:val="00CC7AAE"/>
    <w:rsid w:val="00CE1CC4"/>
    <w:rsid w:val="00CE5588"/>
    <w:rsid w:val="00CE6824"/>
    <w:rsid w:val="00CF43FC"/>
    <w:rsid w:val="00CF4BD4"/>
    <w:rsid w:val="00CF7A78"/>
    <w:rsid w:val="00CF7F61"/>
    <w:rsid w:val="00D04DF4"/>
    <w:rsid w:val="00D123E4"/>
    <w:rsid w:val="00D12FB6"/>
    <w:rsid w:val="00D20572"/>
    <w:rsid w:val="00D33941"/>
    <w:rsid w:val="00D3584A"/>
    <w:rsid w:val="00D36C6D"/>
    <w:rsid w:val="00D36E8F"/>
    <w:rsid w:val="00D43398"/>
    <w:rsid w:val="00D50833"/>
    <w:rsid w:val="00D55480"/>
    <w:rsid w:val="00D60BDD"/>
    <w:rsid w:val="00D723B2"/>
    <w:rsid w:val="00D73A5C"/>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18C8"/>
    <w:rsid w:val="00DF35DD"/>
    <w:rsid w:val="00E00FB9"/>
    <w:rsid w:val="00E019E1"/>
    <w:rsid w:val="00E05517"/>
    <w:rsid w:val="00E05D3A"/>
    <w:rsid w:val="00E06A5B"/>
    <w:rsid w:val="00E11D0E"/>
    <w:rsid w:val="00E1498F"/>
    <w:rsid w:val="00E179D5"/>
    <w:rsid w:val="00E22FE8"/>
    <w:rsid w:val="00E25550"/>
    <w:rsid w:val="00E3091D"/>
    <w:rsid w:val="00E36892"/>
    <w:rsid w:val="00E433BC"/>
    <w:rsid w:val="00E44E73"/>
    <w:rsid w:val="00E4540B"/>
    <w:rsid w:val="00E5739C"/>
    <w:rsid w:val="00E77764"/>
    <w:rsid w:val="00E812FD"/>
    <w:rsid w:val="00E86597"/>
    <w:rsid w:val="00E9481F"/>
    <w:rsid w:val="00E9482C"/>
    <w:rsid w:val="00E966B7"/>
    <w:rsid w:val="00EA3105"/>
    <w:rsid w:val="00EA72FD"/>
    <w:rsid w:val="00EB2085"/>
    <w:rsid w:val="00EB2179"/>
    <w:rsid w:val="00EB2467"/>
    <w:rsid w:val="00EB33FC"/>
    <w:rsid w:val="00EB7341"/>
    <w:rsid w:val="00EC652E"/>
    <w:rsid w:val="00EC6A98"/>
    <w:rsid w:val="00ED27B4"/>
    <w:rsid w:val="00EF12AE"/>
    <w:rsid w:val="00EF23AF"/>
    <w:rsid w:val="00EF69CB"/>
    <w:rsid w:val="00EF6EA4"/>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76441"/>
    <w:rsid w:val="00F821C4"/>
    <w:rsid w:val="00F84516"/>
    <w:rsid w:val="00F87E51"/>
    <w:rsid w:val="00F90F6A"/>
    <w:rsid w:val="00F9642F"/>
    <w:rsid w:val="00F97142"/>
    <w:rsid w:val="00FA29EC"/>
    <w:rsid w:val="00FA433F"/>
    <w:rsid w:val="00FA59AF"/>
    <w:rsid w:val="00FB0059"/>
    <w:rsid w:val="00FB47D7"/>
    <w:rsid w:val="00FB7A99"/>
    <w:rsid w:val="00FC01DE"/>
    <w:rsid w:val="00FC10EF"/>
    <w:rsid w:val="00FC70A2"/>
    <w:rsid w:val="00FD17F4"/>
    <w:rsid w:val="00FE0E05"/>
    <w:rsid w:val="00FE178A"/>
    <w:rsid w:val="00FE3726"/>
    <w:rsid w:val="00FE3A26"/>
    <w:rsid w:val="00FE428E"/>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5FD1-EC54-4F15-A393-4890F993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5829</TotalTime>
  <Pages>14</Pages>
  <Words>6817</Words>
  <Characters>40905</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47627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332</cp:revision>
  <cp:lastPrinted>2022-03-31T10:59:00Z</cp:lastPrinted>
  <dcterms:created xsi:type="dcterms:W3CDTF">2019-12-05T13:53:00Z</dcterms:created>
  <dcterms:modified xsi:type="dcterms:W3CDTF">2022-03-31T10:59:00Z</dcterms:modified>
</cp:coreProperties>
</file>