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4D29FB">
        <w:rPr>
          <w:rFonts w:ascii="Arial" w:eastAsia="Calibri" w:hAnsi="Arial"/>
          <w:b/>
          <w:noProof/>
          <w:sz w:val="28"/>
          <w:szCs w:val="28"/>
        </w:rPr>
        <w:t>asortymentu do operacji fakoemulsyfikacji oraz witrektomii tylnej wraz z najmem aparatu</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D29FB">
        <w:rPr>
          <w:rFonts w:ascii="Arial" w:eastAsia="Arial" w:hAnsi="Arial"/>
          <w:kern w:val="0"/>
          <w:sz w:val="28"/>
          <w:szCs w:val="20"/>
          <w:u w:val="single"/>
          <w:lang w:eastAsia="pl-PL" w:bidi="ar-SA"/>
        </w:rPr>
        <w:t>1</w:t>
      </w:r>
      <w:r w:rsidR="006F6F84">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w:t>
      </w:r>
      <w:r w:rsidR="00496587">
        <w:rPr>
          <w:rFonts w:ascii="Arial" w:eastAsia="Arial" w:hAnsi="Arial"/>
          <w:kern w:val="0"/>
          <w:sz w:val="28"/>
          <w:szCs w:val="20"/>
          <w:u w:val="single"/>
          <w:lang w:eastAsia="pl-PL" w:bidi="ar-SA"/>
        </w:rPr>
        <w:t>2</w:t>
      </w:r>
      <w:bookmarkStart w:id="0" w:name="_GoBack"/>
      <w:bookmarkEnd w:id="0"/>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75EF7">
        <w:rPr>
          <w:rFonts w:ascii="Arial" w:eastAsia="Arial" w:hAnsi="Arial"/>
          <w:kern w:val="0"/>
          <w:szCs w:val="20"/>
          <w:lang w:eastAsia="pl-PL" w:bidi="ar-SA"/>
        </w:rPr>
        <w:t>09.03</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 xml:space="preserve">dnia </w:t>
      </w:r>
      <w:r w:rsidR="004F67F1">
        <w:rPr>
          <w:rFonts w:ascii="Arial" w:hAnsi="Arial"/>
        </w:rPr>
        <w:t>u</w:t>
      </w:r>
      <w:r>
        <w:rPr>
          <w:rFonts w:ascii="Arial" w:hAnsi="Arial"/>
        </w:rPr>
        <w:t>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4D29FB">
        <w:rPr>
          <w:rFonts w:ascii="Arial" w:eastAsiaTheme="minorEastAsia" w:hAnsi="Arial" w:cs="Arial"/>
          <w:sz w:val="22"/>
          <w:szCs w:val="22"/>
          <w:lang w:eastAsia="pl-PL"/>
        </w:rPr>
        <w:t>asortymentu do operacji fakoemulsyfikacji oraz witrektomii tylnej wraz z najmem aparatu</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246764" w:rsidRDefault="004D29FB" w:rsidP="00F90F6A">
      <w:pPr>
        <w:pStyle w:val="Akapitzlist"/>
        <w:spacing w:line="276" w:lineRule="auto"/>
        <w:ind w:left="426"/>
        <w:jc w:val="both"/>
        <w:rPr>
          <w:rFonts w:ascii="Arial" w:hAnsi="Arial" w:cs="Arial"/>
          <w:sz w:val="22"/>
          <w:szCs w:val="22"/>
        </w:rPr>
      </w:pPr>
      <w:r>
        <w:rPr>
          <w:rFonts w:ascii="Arial" w:hAnsi="Arial" w:cs="Arial"/>
          <w:sz w:val="22"/>
          <w:szCs w:val="22"/>
        </w:rPr>
        <w:t>33100000-1</w:t>
      </w:r>
      <w:r w:rsidR="00352E8F" w:rsidRPr="00246764">
        <w:rPr>
          <w:rFonts w:ascii="Arial" w:hAnsi="Arial" w:cs="Arial"/>
          <w:sz w:val="22"/>
          <w:szCs w:val="22"/>
        </w:rPr>
        <w:t xml:space="preserve"> – </w:t>
      </w:r>
      <w:r>
        <w:rPr>
          <w:rFonts w:ascii="Arial" w:hAnsi="Arial" w:cs="Arial"/>
          <w:sz w:val="22"/>
          <w:szCs w:val="22"/>
        </w:rPr>
        <w:t>urządzenia medyczne</w:t>
      </w:r>
    </w:p>
    <w:p w:rsidR="004D29FB" w:rsidRPr="004D29FB" w:rsidRDefault="004D29FB" w:rsidP="00F90F6A">
      <w:pPr>
        <w:pStyle w:val="Akapitzlist"/>
        <w:spacing w:line="276" w:lineRule="auto"/>
        <w:ind w:left="426"/>
        <w:jc w:val="both"/>
        <w:rPr>
          <w:rFonts w:ascii="Arial" w:hAnsi="Arial" w:cs="Arial"/>
          <w:sz w:val="22"/>
          <w:szCs w:val="22"/>
        </w:rPr>
      </w:pPr>
      <w:r w:rsidRPr="004D29FB">
        <w:rPr>
          <w:rFonts w:ascii="Arial" w:hAnsi="Arial" w:cs="Arial"/>
          <w:sz w:val="22"/>
          <w:szCs w:val="22"/>
        </w:rPr>
        <w:t xml:space="preserve">33162000-3 </w:t>
      </w:r>
      <w:r w:rsidR="00352E8F" w:rsidRPr="004D29FB">
        <w:rPr>
          <w:rFonts w:ascii="Arial" w:hAnsi="Arial" w:cs="Arial"/>
          <w:sz w:val="22"/>
          <w:szCs w:val="22"/>
        </w:rPr>
        <w:t xml:space="preserve">– </w:t>
      </w:r>
      <w:r>
        <w:rPr>
          <w:rFonts w:ascii="Arial" w:hAnsi="Arial" w:cs="Arial"/>
          <w:sz w:val="22"/>
          <w:szCs w:val="22"/>
        </w:rPr>
        <w:t>u</w:t>
      </w:r>
      <w:r w:rsidRPr="004D29FB">
        <w:rPr>
          <w:rFonts w:ascii="Arial" w:hAnsi="Arial" w:cs="Arial"/>
          <w:sz w:val="22"/>
          <w:szCs w:val="22"/>
        </w:rPr>
        <w:t xml:space="preserve">rządzenia i przyrządy używane na salach operacyjnych </w:t>
      </w:r>
    </w:p>
    <w:p w:rsidR="00352E8F" w:rsidRPr="00514FDA" w:rsidRDefault="004D29FB" w:rsidP="00F90F6A">
      <w:pPr>
        <w:pStyle w:val="Akapitzlist"/>
        <w:spacing w:line="276" w:lineRule="auto"/>
        <w:ind w:left="426"/>
        <w:jc w:val="both"/>
        <w:rPr>
          <w:rFonts w:ascii="Arial" w:hAnsi="Arial" w:cs="Arial"/>
          <w:sz w:val="22"/>
          <w:szCs w:val="22"/>
        </w:rPr>
      </w:pPr>
      <w:r>
        <w:t xml:space="preserve">33141000-0 </w:t>
      </w:r>
      <w:r w:rsidR="00352E8F" w:rsidRPr="00514FDA">
        <w:rPr>
          <w:rFonts w:ascii="Arial" w:hAnsi="Arial" w:cs="Arial"/>
          <w:sz w:val="22"/>
          <w:szCs w:val="22"/>
        </w:rPr>
        <w:t xml:space="preserve"> </w:t>
      </w:r>
      <w:r w:rsidR="00514FDA" w:rsidRPr="00246764">
        <w:rPr>
          <w:rFonts w:ascii="Arial" w:hAnsi="Arial" w:cs="Arial"/>
          <w:sz w:val="22"/>
          <w:szCs w:val="22"/>
        </w:rPr>
        <w:t>–</w:t>
      </w:r>
      <w:r w:rsidR="00514FDA">
        <w:rPr>
          <w:rFonts w:ascii="Arial" w:hAnsi="Arial" w:cs="Arial"/>
          <w:sz w:val="22"/>
          <w:szCs w:val="22"/>
        </w:rPr>
        <w:t xml:space="preserve"> </w:t>
      </w:r>
      <w:r w:rsidRPr="004D29FB">
        <w:rPr>
          <w:rFonts w:ascii="Arial" w:hAnsi="Arial" w:cs="Arial"/>
          <w:sz w:val="22"/>
          <w:szCs w:val="22"/>
        </w:rPr>
        <w:t xml:space="preserve">jednorazowe, </w:t>
      </w:r>
      <w:proofErr w:type="spellStart"/>
      <w:r w:rsidRPr="004D29FB">
        <w:rPr>
          <w:rFonts w:ascii="Arial" w:hAnsi="Arial" w:cs="Arial"/>
          <w:sz w:val="22"/>
          <w:szCs w:val="22"/>
        </w:rPr>
        <w:t>niechemiczne</w:t>
      </w:r>
      <w:proofErr w:type="spellEnd"/>
      <w:r w:rsidRPr="004D29FB">
        <w:rPr>
          <w:rFonts w:ascii="Arial" w:hAnsi="Arial" w:cs="Arial"/>
          <w:sz w:val="22"/>
          <w:szCs w:val="22"/>
        </w:rPr>
        <w:t xml:space="preserve"> artykuły medyczne i hematologiczne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 xml:space="preserve">i dopuszczenia do stosowania. W takiej sytuacji Wykonawca ma obowiązek dołączyć do oferty niezbędne certyfikaty, aprobaty techniczne, karty techniczne itp. dotyczące oferowanego przedmiotu </w:t>
      </w:r>
      <w:r w:rsidRPr="00920AB4">
        <w:rPr>
          <w:rFonts w:ascii="Arial" w:hAnsi="Arial"/>
        </w:rPr>
        <w:lastRenderedPageBreak/>
        <w:t>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B43FA">
        <w:rPr>
          <w:rFonts w:ascii="Arial" w:eastAsia="Arial" w:hAnsi="Arial"/>
          <w:sz w:val="22"/>
          <w:szCs w:val="22"/>
          <w:lang w:eastAsia="pl-PL"/>
        </w:rPr>
        <w:t>36</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lastRenderedPageBreak/>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046DC2" w:rsidRPr="00A1242C" w:rsidRDefault="00B94759" w:rsidP="00A1242C">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sidR="00A1242C">
        <w:rPr>
          <w:rFonts w:ascii="Arial" w:eastAsia="CIDFont+F6" w:hAnsi="Arial"/>
          <w:color w:val="000000"/>
          <w:sz w:val="22"/>
          <w:szCs w:val="22"/>
          <w:lang w:eastAsia="pl-PL"/>
        </w:rPr>
        <w:t>-cenowy – załącznik nr 2 do SWZ</w:t>
      </w:r>
      <w:r w:rsidR="006252B4" w:rsidRPr="00A1242C">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lastRenderedPageBreak/>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A1242C">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lastRenderedPageBreak/>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A1242C">
        <w:rPr>
          <w:rFonts w:ascii="Arial" w:eastAsia="CIDFont+F6" w:hAnsi="Arial"/>
          <w:b/>
          <w:sz w:val="22"/>
          <w:szCs w:val="22"/>
          <w:lang w:eastAsia="pl-PL"/>
        </w:rPr>
        <w:t>30.06</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8E161C" w:rsidRPr="00A1242C" w:rsidRDefault="00B94759" w:rsidP="00A1242C">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w:t>
      </w:r>
      <w:r w:rsidR="00A1242C">
        <w:rPr>
          <w:rFonts w:ascii="Arial" w:eastAsia="CIDFont+F6" w:hAnsi="Arial"/>
          <w:color w:val="000000"/>
          <w:sz w:val="22"/>
          <w:szCs w:val="22"/>
          <w:lang w:eastAsia="pl-PL"/>
        </w:rPr>
        <w:t>-cenowy – załącznik nr 2 do SWZ</w:t>
      </w:r>
      <w:r w:rsidR="00EB2085" w:rsidRPr="00A1242C">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lastRenderedPageBreak/>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w:t>
      </w:r>
      <w:r w:rsidRPr="00E06A5B">
        <w:rPr>
          <w:rFonts w:ascii="Arial" w:eastAsia="CIDFont+F6" w:hAnsi="Arial"/>
          <w:color w:val="000000"/>
          <w:sz w:val="22"/>
          <w:szCs w:val="22"/>
          <w:lang w:eastAsia="pl-PL"/>
        </w:rPr>
        <w:lastRenderedPageBreak/>
        <w:t xml:space="preserve">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1242C">
        <w:rPr>
          <w:rFonts w:ascii="Arial" w:eastAsia="Arial" w:hAnsi="Arial"/>
          <w:b/>
          <w:kern w:val="0"/>
          <w:sz w:val="22"/>
          <w:szCs w:val="20"/>
          <w:lang w:eastAsia="pl-PL" w:bidi="ar-SA"/>
        </w:rPr>
        <w:t>06.04</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A1242C">
        <w:rPr>
          <w:rFonts w:ascii="Arial" w:eastAsia="Arial" w:hAnsi="Arial"/>
          <w:b/>
          <w:sz w:val="22"/>
          <w:szCs w:val="20"/>
          <w:lang w:eastAsia="pl-PL"/>
        </w:rPr>
        <w:t>07.04</w:t>
      </w:r>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lastRenderedPageBreak/>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 xml:space="preserve">Kryterium „Termin dostawy” </w:t>
      </w:r>
      <w:r w:rsidRPr="007857DC">
        <w:rPr>
          <w:rFonts w:ascii="Arial" w:eastAsia="Calibri" w:hAnsi="Arial"/>
          <w:sz w:val="22"/>
          <w:szCs w:val="22"/>
        </w:rPr>
        <w:t>będzie liczone w następujący sposób: najwyższą liczbę punktów za to kryterium (40 pkt) otrzyma oferta o najkrótszym terminie dostawy (wykazanym 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A1242C" w:rsidRDefault="00A1242C"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lastRenderedPageBreak/>
        <w:t xml:space="preserve">najkrótszy zaoferowany termin dostawy </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lastRenderedPageBreak/>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powierzenia przetwarzania danych osobowych – załącznik </w:t>
      </w:r>
      <w:r>
        <w:rPr>
          <w:rFonts w:ascii="Arial" w:hAnsi="Arial"/>
        </w:rPr>
        <w:br/>
      </w:r>
      <w:r w:rsidRPr="00657D55">
        <w:rPr>
          <w:rFonts w:ascii="Arial" w:hAnsi="Arial"/>
        </w:rPr>
        <w:t>nr 4</w:t>
      </w:r>
      <w:r w:rsidR="004B0202">
        <w:rPr>
          <w:rFonts w:ascii="Arial" w:hAnsi="Arial"/>
        </w:rPr>
        <w:t>A</w:t>
      </w:r>
      <w:r w:rsidRPr="00657D55">
        <w:rPr>
          <w:rFonts w:ascii="Arial" w:hAnsi="Arial"/>
        </w:rPr>
        <w:t xml:space="preserve">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Wzór protokołu odbioru –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A7" w:rsidRDefault="00D617A7">
      <w:r>
        <w:separator/>
      </w:r>
    </w:p>
  </w:endnote>
  <w:endnote w:type="continuationSeparator" w:id="0">
    <w:p w:rsidR="00D617A7" w:rsidRDefault="00D6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96587">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96587">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A7" w:rsidRDefault="00D617A7">
      <w:r>
        <w:rPr>
          <w:color w:val="000000"/>
        </w:rPr>
        <w:separator/>
      </w:r>
    </w:p>
  </w:footnote>
  <w:footnote w:type="continuationSeparator" w:id="0">
    <w:p w:rsidR="00D617A7" w:rsidRDefault="00D61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2"/>
  </w:num>
  <w:num w:numId="4">
    <w:abstractNumId w:val="17"/>
  </w:num>
  <w:num w:numId="5">
    <w:abstractNumId w:val="20"/>
  </w:num>
  <w:num w:numId="6">
    <w:abstractNumId w:val="41"/>
  </w:num>
  <w:num w:numId="7">
    <w:abstractNumId w:val="53"/>
  </w:num>
  <w:num w:numId="8">
    <w:abstractNumId w:val="52"/>
  </w:num>
  <w:num w:numId="9">
    <w:abstractNumId w:val="68"/>
  </w:num>
  <w:num w:numId="10">
    <w:abstractNumId w:val="59"/>
  </w:num>
  <w:num w:numId="11">
    <w:abstractNumId w:val="25"/>
  </w:num>
  <w:num w:numId="12">
    <w:abstractNumId w:val="22"/>
  </w:num>
  <w:num w:numId="13">
    <w:abstractNumId w:val="9"/>
  </w:num>
  <w:num w:numId="14">
    <w:abstractNumId w:val="32"/>
  </w:num>
  <w:num w:numId="15">
    <w:abstractNumId w:val="6"/>
  </w:num>
  <w:num w:numId="16">
    <w:abstractNumId w:val="56"/>
  </w:num>
  <w:num w:numId="17">
    <w:abstractNumId w:val="5"/>
  </w:num>
  <w:num w:numId="18">
    <w:abstractNumId w:val="45"/>
  </w:num>
  <w:num w:numId="19">
    <w:abstractNumId w:val="70"/>
  </w:num>
  <w:num w:numId="20">
    <w:abstractNumId w:val="55"/>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1"/>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8"/>
  </w:num>
  <w:num w:numId="34">
    <w:abstractNumId w:val="67"/>
  </w:num>
  <w:num w:numId="35">
    <w:abstractNumId w:val="26"/>
  </w:num>
  <w:num w:numId="36">
    <w:abstractNumId w:val="28"/>
  </w:num>
  <w:num w:numId="37">
    <w:abstractNumId w:val="66"/>
  </w:num>
  <w:num w:numId="38">
    <w:abstractNumId w:val="57"/>
  </w:num>
  <w:num w:numId="39">
    <w:abstractNumId w:val="39"/>
  </w:num>
  <w:num w:numId="40">
    <w:abstractNumId w:val="37"/>
  </w:num>
  <w:num w:numId="41">
    <w:abstractNumId w:val="54"/>
  </w:num>
  <w:num w:numId="42">
    <w:abstractNumId w:val="43"/>
  </w:num>
  <w:num w:numId="43">
    <w:abstractNumId w:val="42"/>
  </w:num>
  <w:num w:numId="44">
    <w:abstractNumId w:val="7"/>
  </w:num>
  <w:num w:numId="45">
    <w:abstractNumId w:val="46"/>
  </w:num>
  <w:num w:numId="46">
    <w:abstractNumId w:val="31"/>
  </w:num>
  <w:num w:numId="47">
    <w:abstractNumId w:val="47"/>
  </w:num>
  <w:num w:numId="48">
    <w:abstractNumId w:val="19"/>
  </w:num>
  <w:num w:numId="49">
    <w:abstractNumId w:val="21"/>
  </w:num>
  <w:num w:numId="50">
    <w:abstractNumId w:val="61"/>
  </w:num>
  <w:num w:numId="51">
    <w:abstractNumId w:val="30"/>
  </w:num>
  <w:num w:numId="52">
    <w:abstractNumId w:val="34"/>
  </w:num>
  <w:num w:numId="5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7"/>
  </w:num>
  <w:num w:numId="56">
    <w:abstractNumId w:val="15"/>
  </w:num>
  <w:num w:numId="57">
    <w:abstractNumId w:val="33"/>
  </w:num>
  <w:num w:numId="58">
    <w:abstractNumId w:val="64"/>
  </w:num>
  <w:num w:numId="59">
    <w:abstractNumId w:val="11"/>
  </w:num>
  <w:num w:numId="60">
    <w:abstractNumId w:val="40"/>
  </w:num>
  <w:num w:numId="61">
    <w:abstractNumId w:val="18"/>
  </w:num>
  <w:num w:numId="62">
    <w:abstractNumId w:val="35"/>
  </w:num>
  <w:num w:numId="63">
    <w:abstractNumId w:val="60"/>
  </w:num>
  <w:num w:numId="64">
    <w:abstractNumId w:val="49"/>
  </w:num>
  <w:num w:numId="65">
    <w:abstractNumId w:val="48"/>
  </w:num>
  <w:num w:numId="66">
    <w:abstractNumId w:val="50"/>
  </w:num>
  <w:num w:numId="67">
    <w:abstractNumId w:val="38"/>
  </w:num>
  <w:num w:numId="68">
    <w:abstractNumId w:val="62"/>
  </w:num>
  <w:num w:numId="69">
    <w:abstractNumId w:val="69"/>
  </w:num>
  <w:num w:numId="70">
    <w:abstractNumId w:val="63"/>
  </w:num>
  <w:num w:numId="71">
    <w:abstractNumId w:val="29"/>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67B8C"/>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587"/>
    <w:rsid w:val="004A4D67"/>
    <w:rsid w:val="004B0202"/>
    <w:rsid w:val="004B22B6"/>
    <w:rsid w:val="004B23FD"/>
    <w:rsid w:val="004B2F1C"/>
    <w:rsid w:val="004B6DB9"/>
    <w:rsid w:val="004D1351"/>
    <w:rsid w:val="004D29FB"/>
    <w:rsid w:val="004D5D4E"/>
    <w:rsid w:val="004E1EF5"/>
    <w:rsid w:val="004E67CC"/>
    <w:rsid w:val="004F0C50"/>
    <w:rsid w:val="004F4984"/>
    <w:rsid w:val="004F67F1"/>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75EF7"/>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3F66"/>
    <w:rsid w:val="009F4454"/>
    <w:rsid w:val="009F73A1"/>
    <w:rsid w:val="009F7ABD"/>
    <w:rsid w:val="00A059A8"/>
    <w:rsid w:val="00A11C32"/>
    <w:rsid w:val="00A123C7"/>
    <w:rsid w:val="00A1242C"/>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B775F"/>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7A7"/>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050E7"/>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6257-B8A3-42BE-9330-1CCA7914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5857</TotalTime>
  <Pages>14</Pages>
  <Words>6834</Words>
  <Characters>41006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333</cp:revision>
  <cp:lastPrinted>2022-03-09T12:39:00Z</cp:lastPrinted>
  <dcterms:created xsi:type="dcterms:W3CDTF">2019-12-05T13:53:00Z</dcterms:created>
  <dcterms:modified xsi:type="dcterms:W3CDTF">2022-03-11T09:09:00Z</dcterms:modified>
</cp:coreProperties>
</file>