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6F4" w:rsidRDefault="00B624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asortymentowo-cenowy (załącznik nr 2 do SWZ)</w:t>
      </w:r>
    </w:p>
    <w:p w:rsidR="003D06F4" w:rsidRDefault="00B62424">
      <w:pPr>
        <w:rPr>
          <w:rFonts w:ascii="Arial" w:eastAsia="Times New Roman" w:hAnsi="Arial" w:cs="Arial"/>
          <w:b/>
          <w:bCs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i-IN"/>
        </w:rPr>
        <w:t xml:space="preserve">Dostawa tomografu komputerowego dla Zakładu Diagnostyki Obrazowej Szpitala Powiatowego </w:t>
      </w:r>
      <w:r>
        <w:rPr>
          <w:rFonts w:ascii="Arial" w:eastAsia="Times New Roman" w:hAnsi="Arial" w:cs="Arial"/>
          <w:b/>
          <w:bCs/>
          <w:sz w:val="20"/>
          <w:szCs w:val="20"/>
          <w:lang w:eastAsia="hi-IN"/>
        </w:rPr>
        <w:br/>
        <w:t>w Zawierciu (DZP/PN/43/2023)</w:t>
      </w:r>
    </w:p>
    <w:p w:rsidR="003D06F4" w:rsidRDefault="003D06F4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799"/>
        <w:gridCol w:w="681"/>
        <w:gridCol w:w="1648"/>
        <w:gridCol w:w="958"/>
        <w:gridCol w:w="1344"/>
      </w:tblGrid>
      <w:tr w:rsidR="003D06F4">
        <w:trPr>
          <w:trHeight w:val="63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jednostkowa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netto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Stawka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VAT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Tomograf komputerowy (TK)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Konsola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operatorska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Stacja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opisu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TK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Wstrzykiwacz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kontrastu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Serwer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Prace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adaptacyjne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Zastępczy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tomograf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komputerowy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Inne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koszty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wskazać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>
        <w:trPr>
          <w:trHeight w:val="570"/>
        </w:trPr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RAZEM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D06F4" w:rsidRDefault="003D06F4">
      <w:pPr>
        <w:rPr>
          <w:rFonts w:ascii="Arial" w:hAnsi="Arial" w:cs="Arial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3D06F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06F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06F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06F4">
        <w:trPr>
          <w:trHeight w:val="9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3D06F4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 oferowany</w:t>
            </w:r>
          </w:p>
        </w:tc>
      </w:tr>
      <w:tr w:rsidR="003D06F4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PARAMETRY OGÓLNE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Urządzenie oraz wszystkie elementy składowe -  fabrycznie nowe, rok produkcji min. nie wcześniej niż IX. 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  <w:t>podać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Tomograf komputerowy posiadający detektor min. 32 rzędowy przeznaczony do badań ogólnych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Kamera 3D umożliwiająca automatyczne pozycjonowanie pacjenta, która rejestruje kształt, ułożenie oraz wysokość pacjenta, wykorzystując dane przestrzenne wykonując pomiar w podczerwieni. Automatycznie umożliwia poprawne pozycjonowanie pacjenta w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izocentrum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Kamera automatycznie sygnalizuje możliwość potencjalnej kolizji pacjenta z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aparatu przed wjazdem pacjenta do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Ilość warstw uzyskiwanych w jednym obrocie lampy dla jednej energii w skanie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aksjalnym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 spiralnym.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Pokrycie anatomiczne detektora w osi Z [mm] (w przypadku dwóch detektorów podać sumę ich szerokości)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38,4 mm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Średnica otworu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[cm]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70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1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Odległość ogniska lampy od detektora [cm]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&lt; 100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Maksymalna dopuszczalna masa obciążenia stołu [kg]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225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Maksymalny zakres przesuwu stołu, bez elementów metalowych, umożliwiający skanowanie [cm]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170 cm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2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Pedały nożne do sterowania stołem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Sterowanie ruchami stołu 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z paneli umieszczony z dwóch stron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lub przenośnego panelu dotykowego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8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Programowane w protokole badania wskaźniki informujące pacjenta w trakcie akwizycji o konieczności zatrzymania oddechu widoczne z przodu i z tyłu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wyświetlający pozostały czas do wstrzymania oddechu (w postaci liczbowej).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  <w:p w:rsidR="003D06F4" w:rsidRDefault="00B62424">
            <w:pPr>
              <w:spacing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Wybór pacjenta i protokołu badania bezpośrednio z panelu dotykowego umieszczonego 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Skan spiralny lub sekwencyjny przy pochylonym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 zakresie min. ± 30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5"/>
                <w:szCs w:val="15"/>
              </w:rPr>
              <w:t>(fizycznie lub cyfrowo)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 ,podać zakres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Wyposażenie stołu:</w:t>
            </w:r>
            <w:r>
              <w:rPr>
                <w:rFonts w:ascii="Arial" w:hAnsi="Arial" w:cs="Arial"/>
                <w:sz w:val="15"/>
                <w:szCs w:val="15"/>
              </w:rPr>
              <w:br/>
              <w:t>- materac</w:t>
            </w:r>
            <w:r>
              <w:rPr>
                <w:rFonts w:ascii="Arial" w:hAnsi="Arial" w:cs="Arial"/>
                <w:sz w:val="15"/>
                <w:szCs w:val="15"/>
              </w:rPr>
              <w:br/>
              <w:t>- podgłówek do badania głowy</w:t>
            </w:r>
            <w:r>
              <w:rPr>
                <w:rFonts w:ascii="Arial" w:hAnsi="Arial" w:cs="Arial"/>
                <w:sz w:val="15"/>
                <w:szCs w:val="15"/>
              </w:rPr>
              <w:br/>
              <w:t>- podgłówek do pozycji na wznak</w:t>
            </w:r>
            <w:r>
              <w:rPr>
                <w:rFonts w:ascii="Arial" w:hAnsi="Arial" w:cs="Arial"/>
                <w:sz w:val="15"/>
                <w:szCs w:val="15"/>
              </w:rPr>
              <w:br/>
              <w:t>- pasy stabilizujące</w:t>
            </w:r>
            <w:r>
              <w:rPr>
                <w:rFonts w:ascii="Arial" w:hAnsi="Arial" w:cs="Arial"/>
                <w:sz w:val="15"/>
                <w:szCs w:val="15"/>
              </w:rPr>
              <w:br/>
              <w:t>- podpórka pod ramię, kolana i nóg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6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PARAMETRY SKANOWANIA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Ilość uzyskiwanych warstw w czasie jednego obrotu układu lampa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rtg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detektor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Pojemność cieplna anody lampy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rtg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lub jej ekwiwalent w przypadku konstrukcji innej niż klasyczna [MHU]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7 MHU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5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Maksymalna szybkość chłodzenia anody lampy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rtg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kHU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/min]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≥ 1000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kHU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Moc generatora [kW]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55 kW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Zakres napięcia anodowego [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kV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≥ 80-140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Maksymalny prąd lampy możliwy do zastosowania w protokole badania dla napięcia min. 120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kV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≥ 450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65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Maksymalna szybkość skanu spiralnego mierzona szybkością przesuwu stołu podczas skanowania dla pełnego pola widzenia FOV zadeklarowanego w pkt. II.9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150 mm/s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1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Maksymalny zakres pojedynczego skanu spiralnego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155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3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Maksymalne akwizycyjne pole skanowania [cm]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  <w:p w:rsidR="003D06F4" w:rsidRDefault="00B62424">
            <w:pPr>
              <w:spacing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skolimowanych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akwizycyjnych pól skanowania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8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Minimalny czas pełnego skanu (obrót układu(ów) lampa detektor 360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) [s]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≤ 0,40 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Modulowanie promieniowania RTG w zależności od rzeczywistej pochłanialności badanej anatomii. Modulacja we wszystkich trzech osiach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Dynamiczny kolimator ograniczający promieniowanie w osi Z na początku i końcu skanu spiralnego pozwalający uniknąć niepotrzebnego naświetlania pacjenta podczas skanu spiralnego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PARAMETRY JAKOŚCIOWE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Rozdzielczość przestrzenna dla trybu skanowania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submilimetrowego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[mm]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≤ 0,30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5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Grubość najcieńszej dostępnej warstwy w akwizycji wielowarstwowej z akwizycją min. 64 warstw [mm]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≤ 0,625 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Maksymalna rozdzielczość wysokokontrastowa  [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/cm] przy min. 64 jednocześnie zbieranych warstwach w czasie pełnego skanu w matrycy 512 x 512 w płaszczyźnie XY w polu akwizycyjnym 50cm dla 50% MTF [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/cm]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≥ 12,0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Matryca rekonstrukcyjna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512 x 512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IV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STANOWISKA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8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napToGri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Stanowiska pracy:</w:t>
            </w:r>
            <w:r>
              <w:rPr>
                <w:rFonts w:ascii="Arial" w:hAnsi="Arial" w:cs="Arial"/>
                <w:i/>
                <w:sz w:val="15"/>
                <w:szCs w:val="15"/>
              </w:rPr>
              <w:br/>
              <w:t xml:space="preserve">- </w:t>
            </w:r>
            <w:r>
              <w:rPr>
                <w:rFonts w:ascii="Arial" w:hAnsi="Arial" w:cs="Arial"/>
                <w:sz w:val="15"/>
                <w:szCs w:val="15"/>
              </w:rPr>
              <w:t>konsola operatorska wraz z dedykowanym stołem i krzesłem biurowym</w:t>
            </w:r>
          </w:p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- serwer aplikacyjny lub rozbudowa serwera będąca w posiadaniu Zamawiającego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4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V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KONSOLA OPERATORSKA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Dwumonitorowe stanowisko operatorskie z kolorowymi monitorami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Przekątna kolorowych monitorów z aktywną matrycą ciekłokrystaliczną typu Flat 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lub równoważny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≥19”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Pojemność dostępnej bazy danych dla obrazów [512 x 512] bez kompresji wyrażona ilością obrazów  niezależnie od przestrzeni dyskowej dla danych surowych [obrazów]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450 000 obrazów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Szybkość rekonstrukcji obrazów w rozdzielczości 512 x 512  [obrazów/s]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40 obrazów/s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Nowoczesny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niskodawkowy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iteracyjny algorytm rekonstrukcji danych surowych (np.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iMR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ASiR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-V lub odpowiednio do nomenklatury producenta) umożliwiający redukcję dawki o min. 80% w porównaniu do standardowej rekonstrukcji bez pogorszenia jakości </w:t>
            </w:r>
            <w:r>
              <w:rPr>
                <w:rFonts w:ascii="Arial" w:hAnsi="Arial" w:cs="Arial"/>
                <w:i/>
                <w:sz w:val="15"/>
                <w:szCs w:val="15"/>
              </w:rPr>
              <w:t>(parametr potwierdzony w oficjalnych danych producenta)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tak, podać % redukcji dawki bez pogorszenia jakości w porównaniu do standardowej rekonstrukcji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Ilość możliwych do zaprogramowania (prospektywnie) współbieżnych zadań rekonstrukcyjnych dla jednego protokołu skanowania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≥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Tryb szybkiego podglądu badania (rekonstrukcja obrazów w czasie rzeczywistym z szybkością min. 55 obrazów/s) podczas skanowania pozwalając na przerwanie badania po przeskanowaniu wymaganego obszaru.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  <w:t>, p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odać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Podłączenie aparatu poprzez Interfejs sieciowy zgodnie z DICOM 3.0 z następującymi klasami serwisowymi: 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Send / Receive, 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Basic Print,  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Retrieve,  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Storage,  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Worklist,  </w:t>
            </w:r>
          </w:p>
          <w:p w:rsidR="003D06F4" w:rsidRPr="00B6242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Structured Dose Report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D06F4">
        <w:trPr>
          <w:trHeight w:val="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MIP (Maximum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Intensity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Projection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VR (VRT) (Volume Rendering Technique)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Oprogramowanie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rekonstrukcji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3D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Reformatowanie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wielopłaszczyznowe (MPR), rekonstrukcje wzdłuż dowolnej prostej lub krzywej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8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do synchronizacji startu badania na podstawie automatycznej analizy napływu środka cieniującego w zadanej warstwie bez wykonywania wstrzyknięć testowych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do usuwania artefaktów pochodzących od obiektów metalowych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VI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Stacja do opisu TK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VII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Serwer aplikacyjny  lub rozbudowa serwera będącego w posiadaniu Zamawiającego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22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Serwer aplikacyjny:</w:t>
            </w:r>
          </w:p>
          <w:p w:rsidR="003D06F4" w:rsidRDefault="00B6242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liczba procesorów: min. 2</w:t>
            </w:r>
          </w:p>
          <w:p w:rsidR="003D06F4" w:rsidRDefault="00B62424">
            <w:pPr>
              <w:pStyle w:val="Normalny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pamięć RAM: min. 96 GB </w:t>
            </w:r>
          </w:p>
          <w:p w:rsidR="003D06F4" w:rsidRDefault="00B62424">
            <w:pPr>
              <w:pStyle w:val="Normalny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wbudowana macierz w konfiguracji RAID </w:t>
            </w:r>
          </w:p>
          <w:p w:rsidR="003D06F4" w:rsidRDefault="00B62424">
            <w:pPr>
              <w:pStyle w:val="Normalny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pojemności macierzy: min. 3,5 TB</w:t>
            </w:r>
          </w:p>
          <w:p w:rsidR="003D06F4" w:rsidRDefault="00B62424">
            <w:pPr>
              <w:pStyle w:val="Normalny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redundantne zasilanie typu Hot-plug</w:t>
            </w:r>
          </w:p>
          <w:p w:rsidR="003D06F4" w:rsidRDefault="00B62424">
            <w:pPr>
              <w:pStyle w:val="Normalny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serwer umożliwiający jednoczesne przetwarzanie min. 40 000 warstw</w:t>
            </w:r>
          </w:p>
          <w:p w:rsidR="003D06F4" w:rsidRDefault="00B62424">
            <w:pPr>
              <w:pStyle w:val="NormalnyWeb"/>
              <w:spacing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lub</w:t>
            </w:r>
          </w:p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rozbudowa serwera aplikacyjnego o oprogramowanie wymienione w pkt.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Interfejs sieciowy zgodnie z DICOM 3.0 obsługujący następujące klasy serwisowe:                                    </w:t>
            </w:r>
          </w:p>
          <w:p w:rsidR="003D06F4" w:rsidRDefault="00B62424">
            <w:pPr>
              <w:numPr>
                <w:ilvl w:val="0"/>
                <w:numId w:val="2"/>
              </w:numPr>
              <w:tabs>
                <w:tab w:val="clear" w:pos="683"/>
              </w:tabs>
              <w:suppressAutoHyphens/>
              <w:spacing w:after="0" w:line="240" w:lineRule="auto"/>
              <w:ind w:left="266" w:hanging="210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Send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Receive</w:t>
            </w:r>
            <w:proofErr w:type="spellEnd"/>
          </w:p>
          <w:p w:rsidR="003D06F4" w:rsidRDefault="00B62424">
            <w:pPr>
              <w:numPr>
                <w:ilvl w:val="0"/>
                <w:numId w:val="2"/>
              </w:numPr>
              <w:tabs>
                <w:tab w:val="clear" w:pos="683"/>
              </w:tabs>
              <w:suppressAutoHyphens/>
              <w:spacing w:after="0" w:line="240" w:lineRule="auto"/>
              <w:ind w:left="266" w:hanging="2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Print</w:t>
            </w:r>
            <w:proofErr w:type="spellEnd"/>
          </w:p>
          <w:p w:rsidR="003D06F4" w:rsidRDefault="00B62424">
            <w:pPr>
              <w:numPr>
                <w:ilvl w:val="0"/>
                <w:numId w:val="2"/>
              </w:numPr>
              <w:tabs>
                <w:tab w:val="clear" w:pos="683"/>
              </w:tabs>
              <w:suppressAutoHyphens/>
              <w:spacing w:after="0" w:line="240" w:lineRule="auto"/>
              <w:ind w:left="266" w:hanging="2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Query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Retrieve</w:t>
            </w:r>
            <w:proofErr w:type="spellEnd"/>
          </w:p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Storage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Commitment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Oprogramowanie podstawowe -minimum 3 jednoczasowe dostępy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MIP (Maximum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Intensity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Projection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SSD (Surface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Shaded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Display)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VRT (Volume Rendering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Technique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bookmarkStart w:id="0" w:name="_Hlk131416707"/>
            <w:r>
              <w:rPr>
                <w:rFonts w:ascii="Arial" w:hAnsi="Arial" w:cs="Arial"/>
                <w:sz w:val="15"/>
                <w:szCs w:val="15"/>
              </w:rPr>
              <w:t>Pomiary odległości, kąta, powierzchni, objętości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Reformatowanie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wielopłaszczyznowe (MPR), rekonstrukcje wzdłuż dowolnej prostej (równoległe lub promieniste) lub po krzywej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Witrualna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endoskopia dróg powietrznych i naczyń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tworzenia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fotorealistycznych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rekonstrukcji 3D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pozwalające na eksport modeli 3D do zewnętrznego pliku, który może zostać użyty do wydruku 3D. Format plików to min. STL, VRML, 3MF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Oprogramowanie zaawansowane – minimum 1 jednoczasowy dostęp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do segmentacji i ekstrakcji struktur kostnych typu „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bone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removal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” 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lub równoważne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Tak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angiografii CT umożliwiające automatyczną identyfikację i izolację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zakontrastowanego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naczynia z objętości badanej (rozwinięcie wzdłuż linii centralnej naczynia, z pomiarem średnicy, pola przekroju w płaszczyźnie prostopadłej do osi naczynia, automatyczne wyznaczanie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stenozy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automatycznej segmentacji 3D i oceny krwiaków w mózgu wraz z automatycznym obliczaniem objętości krwiaka oraz jego krótkiej i długiej osi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segmentacji 3D i oceny tętniaków w mózgu wraz z automatycznym obliczaniem objętości tętniaka, minimalnej i maksymalnej długości tętniaka oraz maksymalnej i minimalnej średnicy szyjki tętniaka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oceny perfuzji mózgu umożliwiająca ocenę ilościową i jakościową (mapy barwne) co najmniej następujących parametrów: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rBF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(miejscowy przepływ krwi),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rBV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(miejscowa objętość krwi), PS (przepuszczalność tkankowa) oraz TTP (czas do szczytu krzywej wzmocnienia) lub MTT (średni czas przejścia).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Badania perfuzji mózgu oraz guzów mózgu z funkcją klasyfikacji tkankowej polegającej na segmentacji regionów niedokrwiennych mózgu na podstawie map przepływu i objętości krwi.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oceny zmian ogniskowych w płucach, z automatyczną identyfikacją zmian guzkowych w miąższu 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przyopłucnowych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przez program komputerowy, z możliwością zapamiętywania położenia zmian, oceną dynamiki wielkości zmian i rozróżnianiem charakteru guza (np. lity, częściowo lity, nie lity)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71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Specjalistyczne oprogramowanie do diagnostyki chorób płuc (m.in. COPD) umożliwiające obliczanie rozedmy  i analizę dróg oddechowych.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5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Segmentacja wszystkich pięciu płatów płuc i automatyczne obliczanie rozedmy w poszczególnych płatach płuc.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71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umożliwiające dokonanie pomiarów grubości ścian poszczególnych dróg oddechowych oraz średnicy ich światła wraz z prezentacją zewnętrznych i wewnętrznych konturów tych ścian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oceny pacjentów COVID, w tym automatyczna segmentacja, wyliczenia i udział procentowy 3 podstawowych zmętnień występujących w przebiegu choroby COVID,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tj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zmętnień GGO – zagęszczeń o charakterze „mlecznej szyby”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ground-glass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opacities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”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zmętnień CPP – zagęszczeń siateczkowych o charakterze „kostki brukowej”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crazy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paving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patern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zmętnień PNC – zagęszczeń skonsolidowanych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peripherial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nodular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consolidation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Podać tak/nie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Oprogramowanie do automatycznej segmentacji wątroby na płaty i min. 8 segmentów gałęzi żyły wrotnej  obliczające objętość wątroby, płatów  i poszczególnych segmentów </w:t>
            </w:r>
            <w:r>
              <w:rPr>
                <w:rFonts w:ascii="Arial" w:hAnsi="Arial" w:cs="Arial"/>
                <w:bCs/>
                <w:sz w:val="15"/>
                <w:szCs w:val="15"/>
              </w:rPr>
              <w:t>minimum 2 jednoczasowe dostępy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Oprogramowanie oparte o algorytmy głębokiego uczenia do zautomatyzowanej segmentacji wątroby, segmentacja w czasie krótszym niż 3 sekundy i wskaźnik sukcesu segmentacji&gt; 95% na zestawie testowym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Tak/Nie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VIII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WARUNKI INSTALACYJNE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2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gantry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Wymagana moc przyłączeniowa zasilania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0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Zakres temperatur pracy systemu nie mniejszy niż 19-26°C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Tak, 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WYPOSAŻENIE DODATKOWE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Zdalna diagnostyka serwisowa tomografu komputerowego z możliwością oceny technicznej poszczególnych modułów.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2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Zestaw fantomów do kalibracji i kontroli jakości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Podłączenie oferowanych urządzeń do istniejącego w szpitalu systemu PACS/RIS firmy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Radpoint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 zakresie umożliwiającym transfer obrazów diagnostycznych do /z archiwum cyfrowego PACS, realizowanie funkcji DICOM WORKLIST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Strzykawka automatyczna o sekwencyjnego podawania środka cieniującego i roztworu NaCl, pracująca w środowisku TK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Pobieranie środka cieniującego i roztworu NaCl bezpośrednio z oryginalnych opakowań różnych producentów środków cieniujących, bez konieczności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przelewnia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do specjalistycznych wkładów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Maksymalna objętość gotowa do podawania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konktrastu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 roztworu NaCl min. 2000 ml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Maksymalna ilość płynów możliwa do podania jednemu pacjentowi min. 400 ml.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Maksymalne ciśnienie w systemie podczas dozowania płynów min. 17 bar (246,6 psi)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Automatyczne wypełnienie wężyka pacjenta w końcowej fazie iniekcji roztworem NaCl.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System wykrywający zmianę wężyka pacjenta po skończonej iniekcji, uniemożliwiający wykonanie kolejnego badania na tym samym wężyku.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Aktywne podgrzewacze kontrastu, zintegrowane ze strzykawką.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Konsola sterująca wyposażona w kolorowy panel dotykowy – interfejs w języku polskim.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Możliwość pracy na zasilaniu bateryjnym, bezprzewodowe połączenie z terminalem sterującym w oparciu o standard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bluetooth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Ekspolatacja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wstrzykiwacza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jest prowadzona z wykorzystaniem materiałów nie zawierających związków DEHP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ftalany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dietyloheksylu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Możliwość pracy z materiałami zużywalnymi o certyfikowanej sterylności przez 24h niezależnie od ilości wykonanych iniekcji oraz zużytego środka kontrastowego czy NaCl</w:t>
            </w:r>
          </w:p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Sprzężenie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wstrzykiwacza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z oferowanym tomografem min. w klasie IV wg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SZKOLENIA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Szkolenie podstawowe lekarzy i techników w siedzibie Zamawiającego, bezpośrednio po uruchomieniu przedmiotu oferty przez okres 4 dni roboczych (min 4 osoby)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Szkolenie zaawansowane personelu lekarskiego  w siedzibie Zamawiającego przez okres min. 4 dni roboczych w terminie uzgodnionym z Zamawiającym w okresie max. 2.m-cy od daty odbioru aparatu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Każdy z uczestników szkolenia otrzyma zaświadczenie / certyfikat potwierdzające kwalifikację do obsługi urządzenia.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XI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INNE WYMAGANIA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Wykonanie projektu ochrony radiologicznej i w przypadku konieczności dostosowanie pomieszczeń instalacji do tych wymogów tj. wykonanie testów akceptacyjnych i specjalistycznych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9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Opracowanie pełnej dokumentacji i wniosków niezbędnych do uzyskania wymaganych zezwoleń na uruchomienie pracowni tomografu komputerowego oraz uruchomienie i dostosowanie tomografu komputerowego do celów diagnostyki medycznej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43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Wykonanie odbiorów pracowni i aparatu TK przez wszystkie służby sanitarne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4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Wykonanie przeglądów technicznych w okresie gwarancji zalecanych przez producenta przedmiotu oferty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 podać ilość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6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XII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WARUNKI GWARANCJI /INNE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Pełna gwarancja na wszystkie elementy systemu min. 2 lata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Tak, 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8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Czas reakcji na zgłoszenie usterki - do 2 godzin od momentu zgłoszenia telefonicznego potwierdzonego pocztą elektroniczną na e-mail  w dni robocze rozumiane jako dni od poniedziałku do soboty, z wyłączeniem dni ustawowo wolnych od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Tak, 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5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Czas  naprawy od momentu zgłoszenia awarii – max.2 dni  robocze rozumiane jako dni od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pn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sob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, z wyłączeniem dni ustawowo wolnych od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Tak podać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3D06F4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line="24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Czas naprawy z użyciem części zamiennych sprowadzanych z zagranicy licząc od momentu zgłoszenia awarii – max.5 dni roboczych rozumiane jako dni od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pn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do sob. z wyłączeniem dni ustawowo wolnych od pracy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3D06F4">
        <w:trPr>
          <w:trHeight w:val="7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UPS do zasilania konsoli operatorskiej  oferowanego tomografu komputerowego zapewniający bezpieczne zamknięcie systemu w czasie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okresślonym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przez producenta jednak nie krótszym niż 5 minut.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3D06F4">
        <w:trPr>
          <w:trHeight w:val="43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UPS do  bezpiecznego wyłączenia  pracy tomografu w tym lampy w razie awarii zasilania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XIII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PARAMETRY MINIMALNE DLA SERWERA APLIKACYJNEGO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Serwer w obudowie typu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Rack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do montażu w szafach 19”, fabrycznie nowy (wyprodukowany w 2023r.), niedozwolone jest oferowanie sprzętu z programów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Refurbished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itp., .dostarczony w oryginalnym opakowaniu producenta. Zamawiający nie dopuszcza możliwości otwierania pudełek transportowych i wprowadzenia jakichkolwiek modyfikacji w konfiguracji serwera poza jego siedzibą.</w:t>
            </w:r>
          </w:p>
          <w:p w:rsidR="003D06F4" w:rsidRDefault="00B62424">
            <w:pPr>
              <w:spacing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</w:rPr>
              <w:t>W celu potwierdzenia spełnienia parametrów technicznych Wykonawca na wezwanie Zamawiającego przedstawi karty katalogowe oferowanego sprzętu.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 podać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Procesor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Zainstalowany procesor 8-rdzeniowy, osiągający wynik w teście CPU Mark dostępnym na stronie www.cpubenchmark.net minimum 13 315 punktów dla tego procesora.</w:t>
            </w:r>
          </w:p>
          <w:p w:rsidR="003D06F4" w:rsidRDefault="00B62424">
            <w:pPr>
              <w:spacing w:line="240" w:lineRule="auto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Wydruk potwierdzający wynik testu zaoferowanego procesora, wykonany nie wcześniej niż w terminie zamieszczenia ogłoszenia o zamówieniu i nie później niż termin wyznaczony do składania ofert należy załączyć do oferty (wydruk powinien zawierać adres strony internetowej oraz datę sporządzenia wydruku).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 podać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Płyta główna i chipset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 xml:space="preserve">Płyta główna musi być zaprojektowana przez producenta serwera i oznaczona jego znakiem firmowym, dostosowana do współpracy z oferowanymi komponentami w szczególności: procesorem, pamięcią RAM i wszystkimi kartami rozszerzeń oraz zapewniająca maksymalną wydajność systemu.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Chipset dedykowany przez producenta procesora do pracy w serwerach.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Pamięć RAM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64 GB DDR4 UDIMM w modułach o pojemności min. 32GB.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Optymalizacja rozruchu 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Zainstalowany dysk 480GB SSD M.2 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Uszkodzone dyski twarde pozostają u Zamawiającego.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Wewnętrzna pamięć masowa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2 dyski twarde o pojemności 2 TB i prędkości 7200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obr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./min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Karta grafiki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Wyposażona w 16GB pamięci i 4 złącza DP, osiągająca wynik w teście Benchmark, dostępnym na stronie www.videocardbenchmark.net minimum 19 000 punktów dla tej karty grafiki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Wydruk potwierdzający wynik testu zaoferowanej karty  grafiki, wykonany nie wcześniej niż w terminie zamieszczenia ogłoszenia o zamówieniu i nie później niż termin wyznaczony do składania ofert należy załączyć do oferty (wydruk powinien zawierać adres strony internetowej oraz datę sporządzenia wydruku).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Kabel zasilający do karty graficznej 75W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 podać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Wbudowane porty i karty rozszerzeń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Min. 2 porty USB, w tym min. 2 porty z przodu serwera.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 porty RJ45, 1 port VGA, 1 port RS232.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Zasilacze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Dwa redundantne zasilacze.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Dodatkowo dwa kable zasilające z wtykami C13/C14 o długości min. 2m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System operacyjny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na licencji GPL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Warunki gwarancji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36 miesięcy gwarancji producenta na części i robociznę</w:t>
            </w:r>
            <w:bookmarkStart w:id="1" w:name="_Hlk98160731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, realizowaną w miejscu instalacji sprzętu z czasem realizacji do następnego dnia roboczego od przyjęcia zgłoszenia</w:t>
            </w:r>
            <w:bookmarkEnd w:id="1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. Możliwość zgłaszania awarii w trybie 365x7x24 poprzez ogólnopolską linię telefoniczną producenta. Serwis urządzenia musi być realizowany przez Producenta lub Autoryzowanego Partnera Serwisowego Producenta. Gwarancja realizowana w języku polskim. Uszkodzone dyski twarde pozostają u Zamawiającego.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 xml:space="preserve">Wymagane dołączenie do oferty oświadczenia Producenta potwierdzając, że Serwis urządzeń będzie realizowany bezpośrednio przez Producenta i/lub we współpracy z Autoryzowanym Partnerem Serwisowym Producenta. Oświadczenie producenta serwera, potwierdzające, że sprzęt pochodzi z oficjalnego kanału dystrybucyjnego producenta. Możliwość sprawdzenia statusu gwarancji poprzez stronę producenta podając unikatowy numer urządzenia, oraz pobieranie uaktualnień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mikrokodu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oraz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lastRenderedPageBreak/>
              <w:t>sterowników nawet w przypadku wygaśnięcia gwarancji systemu.</w:t>
            </w:r>
          </w:p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Przed podpisaniem protokołu odbioru dostawy Wykonawca przekaże Zamawiającemu dane pakietu gwarancyjnego serwera zawierającego wszystkie opcje wskazane powyżej. Brak spełnienia tego wymogu będzie skutkował odmową podpisania protokołu odbioru przez Zamawiającego z winy Wykonawcy.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F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Wsparcie techniczne producenta i dokumentacja techniczna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36 miesięcy wsparcia technicznego realizowanego w języku polskim drogą mailową oraz telefonicznie pod ogólnopolskim numerem telefonu.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 xml:space="preserve">Możliwość sprawdzenia konfiguracji sprzętowej oraz warunków gwarancji po podaniu numeru seryjnego bezpośrednio na stronie www producenta.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br/>
              <w:t>Zamawiający wymaga dokumentacji technicznej w języku polskim lub angielskim.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D06F4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XIV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B62424">
            <w:pPr>
              <w:spacing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PARAMETRY MINIMALNE OPROGRAMOWANIA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6F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</w:tbl>
    <w:tbl>
      <w:tblPr>
        <w:tblW w:w="78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24"/>
        <w:gridCol w:w="4186"/>
        <w:gridCol w:w="1469"/>
        <w:gridCol w:w="1302"/>
      </w:tblGrid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System posiada oznakowanie znakiem CE oraz deklaracje producenta w zakresie zgodności z wymaganiami dyrektywy MDD 93/42/EWG dla wyrobu medycznego klasy II.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6F4" w:rsidRPr="00B62424" w:rsidRDefault="00B62424">
            <w:pPr>
              <w:pStyle w:val="Bezodstpw"/>
              <w:widowControl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pStyle w:val="Bezodstpw"/>
              <w:widowContro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Diagnostyczna przeglądarka DICOM, webowa HTML dostępna przez przeglądarkę internetową na komputerach klasy desktop oraz na urządzeniach mobilnych.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Wyrób medyczny minimum klasy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IIb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CE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pracy do trzech użytkowników jednocześnie na różnych stacjach opisowych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Podgląd obrazów DICOM z użyciem wyłącznie przeglądarki internetowej bez potrzeby instalacji dodatkowych komponentów na stacjach klienckich, takich jak kontrolki ActiveX,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applety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Java,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pluginy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NPAPI czy pakiety Java Web Start.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pracy w przeglądarkach min. Chrome i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Firefox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systemach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MacOS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Windows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wyświetlania modalności: CT, MR, CR/DX, US, XC, PT, ST, NM, wyników badań histopatologicznych, endoskopii (DICOM video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files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Obsługa wyświetlania na wielu monitorach i umożliwia zdefiniowanie liczby i układu monitorów oraz ich wzajemnego położenia.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Definiowanie własnych protokołów wyświetlania (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hanging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protocols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na podstawie konfiguracji wyświetlania aktualnie otwartego badania. 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Przeglądarka DICOM pozwala na zapisanie dowolnej liczby protokołów wyświetlania i skojarzenie ich z wybranym typem badania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automatyczne przywołanie odpowiedniego protokołu wyświetlania podczas otwierania badania.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Jednoczesne wyświetlanie wielu badań w jednej zakładce/oknie przeglądarki internetowej, zarówno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porównawczych tego samego pacjenta, jak i badań różnych pacjentów.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Wyświetlanie osi czasu pacjenta zawierającej wszystkie jego badania,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w celu wygodnego dostępu do badań porównawczych wprost z poziomu przeglądarki DICOM.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Wyświetlanie obrazów na urządzeniach mobilnych, zapewnia interakcję za pomocą gestów dotykowych i wsparcie dla urządzeń z systemem Android i iOS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Zdefiniowane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presety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ustawień okna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w skali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Hounsfielda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dla badań TK: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- okno płucne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okno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miękkotkankowe</w:t>
            </w:r>
            <w:proofErr w:type="spellEnd"/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okno kostne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okno celowane na mózgowie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ustawienie własnych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presetów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ustawień okna, zdefiniowanie modalności, dla których mają być dostępne oraz pozwala na przypisanie skrótu klawiszowego do szybkiego przełączania pomiędzy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presetami</w:t>
            </w:r>
            <w:proofErr w:type="spellEnd"/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Wbudowane filtry obrazu: wygładzanie, wyostrzanie, wyszukiwanie krawędzi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Wspierane techniki rekonstrukcji - rendering w trybie 2D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rendering w trybie 3D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MIP,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MinIP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rekonstrukcje wielopłaszczyznowe MPR pod dowolnym kątem - rekonstrukcje CPR.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Przeglądarka oferuje przyciski szybkiego dostępu pozwalające na wybór trybu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renderowania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MinIP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MIP, MPR,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Axial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Sagittal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Transverse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) przy użyciu jednego kliknięcia.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Rendering wolumetryczny 3D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Zmiana grubości warstwy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Kursor 3D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Narzędzia powiększania, przesuwania i obracania obrazu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Funkcja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cine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odtwarzanie ciągłe klatka po klatce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odtwarzania filmów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Informacja o orientacji obrazu wyświetlana na ekranie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Podział serii wielofazowych (dynamiczne badania CT)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Linie referencyjne – prezentacja płaszczyzny serii badania na wyświetlonej obok serii w innej orientacji płaszczyzny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dopasowanie powiększenia obrazu do wielkości okna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Rejestracja (optymalne nałożenie) dwóch serii badania w tej samej płaszczyźnie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Przeglądanie synchroniczne dwóch serii badania w tej samej płaszczyźnie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Przeglądarka DICOM udostępnia możliwość tworzenia adnotacji i funkcje pomiarowe, m. in.: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- pomiar odległości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pomiar powierzchni w obrębie ROI (kwadrat, elipsa, dowolny kształt)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pomiar kąta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możliwość oznaczenia zmiany strzałką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możliwość adnotacji tekstowych na obrazach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Przeglądarka umożliwia utrwalenie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burn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-in) adnotacji wprost w obrazie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wygenerowanie nowego obrazu (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secondary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capture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Oznaczanie obrazu jako kluczowego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Pomiar gęstości optycznej (CR) oraz jednostek </w:t>
            </w:r>
            <w:proofErr w:type="spellStart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Hounsfielda</w:t>
            </w:r>
            <w:proofErr w:type="spellEnd"/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(CT)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– pomiar w ROI i w punkcie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Oznaczenie faktu przejrzenia wszystkich obrazów w serii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rPr>
          <w:trHeight w:val="180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ręcznego obrysu zmian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wyznaczania objętości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Eksport zmian do PACS (utworzone serie, ROI, utrwalone adnotacje)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Eksport badania do katalogu lokalnego wraz z utworzeniem DICOMDIR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Prezentacja serii w badaniu w postaci podglądu miniaturek serii wraz z informacją o liczbie obrazów w serii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Przeglądarka posiada funkcję progresywnego wyświetlania obrazów – aplikacja najpierw odbiera obraz, który ma zostać wyświetlony i stopniowo odbiera pozostałe obrazy badania tak aby uzyskać płynność pracy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inwersji skali kolorów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Przeglądarka DICOM umożliwia zmianę układu okien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Przeglądarka DICOM posiada wbudowaną (natywną) możliwość wspólnej pracy na tym samym badaniu </w:t>
            </w: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dwóch i więcej użytkowników (konsultacja w trybie prezenter-uczestnicy):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zaproszenie uczestników do prezentowanej sesji przez czat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współdzielenie ekranu prezentera uczestnikom sesji: wyświetlanych obrazów, wykonywanych pomiarów, nanoszonych adnotacji oraz manipulacji obrazami w tym rekonstrukcjami w czasie rzeczywistym z wizualizacją położenia kursora myszy prezentera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WYMAGANIA DO OPROGRAMOWANIA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Licencje na oprogramowanie: 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trzy licencje pływające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Gwarancja/Wsparcie </w:t>
            </w:r>
          </w:p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- minimum 24 miesięcy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06F4" w:rsidRPr="00B62424"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2424">
              <w:rPr>
                <w:rFonts w:ascii="Arial" w:hAnsi="Arial" w:cs="Arial"/>
                <w:color w:val="000000" w:themeColor="text1"/>
                <w:sz w:val="16"/>
                <w:szCs w:val="16"/>
              </w:rPr>
              <w:t>Integracja desktopowa z posiadanym systemem RIS/PACS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F4" w:rsidRPr="00B62424" w:rsidRDefault="00B62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2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6F4" w:rsidRPr="00B62424" w:rsidRDefault="003D06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D06F4" w:rsidRDefault="003D0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1B4D00" w:rsidRDefault="001B4D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1B4D00" w:rsidRDefault="001B4D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1B4D00" w:rsidRDefault="001B4D00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1B4D00" w:rsidRDefault="001B4D00" w:rsidP="001B4D00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B4D00" w:rsidRDefault="001B4D00" w:rsidP="001B4D00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B4D00" w:rsidRPr="00B62424" w:rsidRDefault="001B4D00" w:rsidP="001B4D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/>
          <w:b/>
          <w:bCs/>
        </w:rPr>
        <w:t>Oświadczam, że</w:t>
      </w:r>
      <w:r w:rsidRPr="00515FA0">
        <w:rPr>
          <w:rFonts w:ascii="Arial" w:hAnsi="Arial"/>
          <w:b/>
          <w:bCs/>
        </w:rPr>
        <w:t xml:space="preserve"> asortyment</w:t>
      </w:r>
      <w:r>
        <w:rPr>
          <w:rFonts w:ascii="Arial" w:hAnsi="Arial"/>
          <w:b/>
          <w:bCs/>
        </w:rPr>
        <w:t xml:space="preserve"> </w:t>
      </w:r>
      <w:r w:rsidRPr="00515FA0">
        <w:rPr>
          <w:rFonts w:ascii="Arial" w:hAnsi="Arial"/>
          <w:b/>
          <w:bCs/>
        </w:rPr>
        <w:t xml:space="preserve">jest zakwalifikowany jako wyrób medyczny zgodnie </w:t>
      </w:r>
      <w:r>
        <w:rPr>
          <w:rFonts w:ascii="Arial" w:hAnsi="Arial"/>
          <w:b/>
          <w:bCs/>
        </w:rPr>
        <w:br/>
      </w:r>
      <w:r w:rsidRPr="00515FA0">
        <w:rPr>
          <w:rFonts w:ascii="Arial" w:hAnsi="Arial"/>
          <w:b/>
          <w:bCs/>
        </w:rPr>
        <w:t xml:space="preserve">z ustawą  z dnia 7 kwietnia 2022 r. o wyrobach medycznych (Dz. U. z 2022 r. poz. 974) - </w:t>
      </w:r>
      <w:r w:rsidRPr="00515FA0">
        <w:rPr>
          <w:rFonts w:ascii="Arial" w:eastAsia="CIDFont+F6" w:hAnsi="Arial"/>
          <w:b/>
          <w:bCs/>
          <w:lang w:eastAsia="pl-PL"/>
        </w:rPr>
        <w:t>dotyczy poz. objętych 8% stawką VAT)</w:t>
      </w:r>
    </w:p>
    <w:sectPr w:rsidR="001B4D00" w:rsidRPr="00B624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6F4" w:rsidRDefault="00B62424">
      <w:pPr>
        <w:spacing w:line="240" w:lineRule="auto"/>
      </w:pPr>
      <w:r>
        <w:separator/>
      </w:r>
    </w:p>
  </w:endnote>
  <w:endnote w:type="continuationSeparator" w:id="0">
    <w:p w:rsidR="003D06F4" w:rsidRDefault="00B62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6F4" w:rsidRDefault="00B6242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>
      <w:rPr>
        <w:sz w:val="16"/>
        <w:szCs w:val="16"/>
      </w:rPr>
      <w:t xml:space="preserve"> Zakup sprzętu medycznego i wyposażenia na Oddział </w:t>
    </w:r>
    <w:proofErr w:type="spellStart"/>
    <w:r>
      <w:rPr>
        <w:sz w:val="16"/>
        <w:szCs w:val="16"/>
      </w:rPr>
      <w:t>Obserwacyjno</w:t>
    </w:r>
    <w:proofErr w:type="spellEnd"/>
    <w:r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>
      <w:rPr>
        <w:sz w:val="16"/>
        <w:szCs w:val="16"/>
      </w:rPr>
      <w:t>OAiIT</w:t>
    </w:r>
    <w:proofErr w:type="spellEnd"/>
    <w:r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 Wsparcie podmiotów leczniczych udzielających świadczeń dedykowanych chorobom zakaźnym (REACT-EU)</w:t>
    </w:r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6F4" w:rsidRDefault="00B62424">
      <w:pPr>
        <w:spacing w:after="0"/>
      </w:pPr>
      <w:r>
        <w:separator/>
      </w:r>
    </w:p>
  </w:footnote>
  <w:footnote w:type="continuationSeparator" w:id="0">
    <w:p w:rsidR="003D06F4" w:rsidRDefault="00B624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6F4" w:rsidRDefault="00B62424">
    <w:pPr>
      <w:pStyle w:val="Nagwek"/>
    </w:pPr>
    <w:r>
      <w:rPr>
        <w:noProof/>
      </w:rPr>
      <w:drawing>
        <wp:inline distT="0" distB="0" distL="0" distR="0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6F4" w:rsidRDefault="003D06F4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1621"/>
    <w:multiLevelType w:val="multilevel"/>
    <w:tmpl w:val="43A31621"/>
    <w:lvl w:ilvl="0">
      <w:start w:val="1"/>
      <w:numFmt w:val="bullet"/>
      <w:lvlText w:val=""/>
      <w:lvlJc w:val="left"/>
      <w:pPr>
        <w:tabs>
          <w:tab w:val="left" w:pos="683"/>
        </w:tabs>
        <w:ind w:left="683" w:hanging="683"/>
      </w:pPr>
      <w:rPr>
        <w:rFonts w:ascii="Wingdings" w:hAnsi="Wingdings" w:hint="default"/>
        <w:b w:val="0"/>
        <w:i w:val="0"/>
        <w:color w:val="auto"/>
        <w:sz w:val="16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5A7"/>
    <w:multiLevelType w:val="multilevel"/>
    <w:tmpl w:val="751625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578635">
    <w:abstractNumId w:val="1"/>
  </w:num>
  <w:num w:numId="2" w16cid:durableId="67391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27"/>
    <w:rsid w:val="00084355"/>
    <w:rsid w:val="000B19AA"/>
    <w:rsid w:val="000C3D39"/>
    <w:rsid w:val="001B49FD"/>
    <w:rsid w:val="001B4D00"/>
    <w:rsid w:val="001C362B"/>
    <w:rsid w:val="001D275D"/>
    <w:rsid w:val="001E664E"/>
    <w:rsid w:val="001F6F16"/>
    <w:rsid w:val="0025590D"/>
    <w:rsid w:val="00266A22"/>
    <w:rsid w:val="002720D8"/>
    <w:rsid w:val="00275C7D"/>
    <w:rsid w:val="002C1FAB"/>
    <w:rsid w:val="003046EB"/>
    <w:rsid w:val="0030585A"/>
    <w:rsid w:val="0031525B"/>
    <w:rsid w:val="003A22F3"/>
    <w:rsid w:val="003B1C20"/>
    <w:rsid w:val="003C084B"/>
    <w:rsid w:val="003D06F4"/>
    <w:rsid w:val="003D2EDF"/>
    <w:rsid w:val="003E4FE2"/>
    <w:rsid w:val="00452A05"/>
    <w:rsid w:val="00467FBB"/>
    <w:rsid w:val="00476EE0"/>
    <w:rsid w:val="0048415E"/>
    <w:rsid w:val="004C1765"/>
    <w:rsid w:val="004E5F3A"/>
    <w:rsid w:val="00555FC3"/>
    <w:rsid w:val="005823B4"/>
    <w:rsid w:val="005A0196"/>
    <w:rsid w:val="00611FD7"/>
    <w:rsid w:val="006418D8"/>
    <w:rsid w:val="00645731"/>
    <w:rsid w:val="00693337"/>
    <w:rsid w:val="00693AD9"/>
    <w:rsid w:val="007366B0"/>
    <w:rsid w:val="00763B05"/>
    <w:rsid w:val="007D615C"/>
    <w:rsid w:val="007F3F9B"/>
    <w:rsid w:val="007F57C7"/>
    <w:rsid w:val="00811977"/>
    <w:rsid w:val="008206F9"/>
    <w:rsid w:val="008217C6"/>
    <w:rsid w:val="0090534B"/>
    <w:rsid w:val="00920B09"/>
    <w:rsid w:val="0092130F"/>
    <w:rsid w:val="00924283"/>
    <w:rsid w:val="009549F9"/>
    <w:rsid w:val="009B57A9"/>
    <w:rsid w:val="009F1395"/>
    <w:rsid w:val="00A21B0E"/>
    <w:rsid w:val="00A52A47"/>
    <w:rsid w:val="00A76D5B"/>
    <w:rsid w:val="00AA4ED8"/>
    <w:rsid w:val="00AD2CCB"/>
    <w:rsid w:val="00AD623B"/>
    <w:rsid w:val="00AE49B2"/>
    <w:rsid w:val="00B43622"/>
    <w:rsid w:val="00B62424"/>
    <w:rsid w:val="00B765F4"/>
    <w:rsid w:val="00B839D0"/>
    <w:rsid w:val="00B91769"/>
    <w:rsid w:val="00BD37C0"/>
    <w:rsid w:val="00BD59CF"/>
    <w:rsid w:val="00BF4787"/>
    <w:rsid w:val="00D52216"/>
    <w:rsid w:val="00D93B8E"/>
    <w:rsid w:val="00DB5865"/>
    <w:rsid w:val="00E143F6"/>
    <w:rsid w:val="00E30FB2"/>
    <w:rsid w:val="00E8025D"/>
    <w:rsid w:val="00E807CB"/>
    <w:rsid w:val="00E93200"/>
    <w:rsid w:val="00EC5427"/>
    <w:rsid w:val="00F55A79"/>
    <w:rsid w:val="00F64685"/>
    <w:rsid w:val="00F8094D"/>
    <w:rsid w:val="00FB1448"/>
    <w:rsid w:val="389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9D9E"/>
  <w15:docId w15:val="{77640E1C-4A00-463C-8935-9FABA062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Courier New" w:eastAsia="Times New Roman" w:hAnsi="Courier New" w:cs="Times New Roman"/>
      <w:sz w:val="24"/>
      <w:szCs w:val="20"/>
      <w:lang w:val="zh-CN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pPr>
      <w:suppressAutoHyphens/>
    </w:pPr>
    <w:rPr>
      <w:rFonts w:cs="Times New Roman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3576</Words>
  <Characters>21458</Characters>
  <Application>Microsoft Office Word</Application>
  <DocSecurity>0</DocSecurity>
  <Lines>178</Lines>
  <Paragraphs>49</Paragraphs>
  <ScaleCrop>false</ScaleCrop>
  <Company/>
  <LinksUpToDate>false</LinksUpToDate>
  <CharactersWithSpaces>24985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Kasandra Kurdek</cp:lastModifiedBy>
  <cp:revision>3</cp:revision>
  <cp:lastPrinted>2023-05-09T07:24:00Z</cp:lastPrinted>
  <dcterms:created xsi:type="dcterms:W3CDTF">2023-05-19T09:52:00Z</dcterms:created>
  <dcterms:modified xsi:type="dcterms:W3CDTF">2023-05-19T12:45:00Z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95C3AF3F3B3C45ECB04331F8C1A5B958</vt:lpwstr>
  </property>
</Properties>
</file>