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</w:pPr>
    </w:p>
    <w:p w:rsidR="00373B6F" w:rsidRDefault="00373B6F" w:rsidP="00F9346E">
      <w:pPr>
        <w:spacing w:after="0" w:line="360" w:lineRule="auto"/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7C37A8" w:rsidP="00373B6F">
      <w:pPr>
        <w:pStyle w:val="Standard"/>
        <w:spacing w:after="0" w:line="360" w:lineRule="auto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DZP/PN/39</w:t>
      </w:r>
      <w:r w:rsidR="00373B6F">
        <w:rPr>
          <w:rFonts w:ascii="Verdana" w:eastAsia="Times New Roman" w:hAnsi="Verdana" w:cs="Verdana"/>
          <w:sz w:val="16"/>
          <w:szCs w:val="16"/>
        </w:rPr>
        <w:t>/2019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sz w:val="16"/>
          <w:szCs w:val="16"/>
        </w:rPr>
      </w:pP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Załącznik nr 7 do SIWZ</w:t>
      </w: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„Dostawa i montaż dźwigu małotowarowego wraz z demontażem istniejącego urządzenia”</w:t>
      </w: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>
        <w:rPr>
          <w:rFonts w:ascii="Verdana" w:eastAsia="Times New Roman" w:hAnsi="Verdana" w:cs="Verdana"/>
          <w:b/>
          <w:sz w:val="20"/>
          <w:szCs w:val="18"/>
        </w:rPr>
        <w:t>SPECYFIKACJA TECHNICZNA</w:t>
      </w: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>
        <w:rPr>
          <w:rFonts w:ascii="Verdana" w:eastAsia="Times New Roman" w:hAnsi="Verdana" w:cs="Verdana"/>
          <w:b/>
          <w:sz w:val="20"/>
          <w:szCs w:val="18"/>
        </w:rPr>
        <w:t>WYKONANIA I ODBIORU ROBÓT BUDOWLANYCH</w:t>
      </w: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>
        <w:rPr>
          <w:rFonts w:ascii="Verdana" w:eastAsia="Times New Roman" w:hAnsi="Verdana" w:cs="Verdana"/>
          <w:b/>
          <w:sz w:val="20"/>
          <w:szCs w:val="18"/>
        </w:rPr>
        <w:t>CPV 45215140-0</w:t>
      </w: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Zamawiający: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Szpital Powiatowy w Zawierciu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Ul. Miodowa 14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42-400 Zawiercie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Jednostka opracowująca Specyfikację: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mgr inż. Grzegorz Gruk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Zawiercie, styczeń 2019 r.</w:t>
      </w: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373B6F" w:rsidRDefault="00373B6F" w:rsidP="00373B6F">
      <w:pPr>
        <w:pStyle w:val="Standard"/>
        <w:numPr>
          <w:ilvl w:val="0"/>
          <w:numId w:val="2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  <w:sz w:val="24"/>
        </w:rPr>
      </w:pPr>
      <w:r>
        <w:rPr>
          <w:rFonts w:ascii="Verdana" w:eastAsia="Tahoma" w:hAnsi="Verdana" w:cs="Verdana"/>
          <w:b/>
          <w:sz w:val="24"/>
        </w:rPr>
        <w:t>Część ogólna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Nazwa nadana zamówieniu przez zamawiającego: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  <w:b/>
        </w:rPr>
      </w:pPr>
      <w:r>
        <w:rPr>
          <w:rFonts w:ascii="Verdana" w:eastAsia="Times New Roman" w:hAnsi="Verdana" w:cs="Verdana"/>
          <w:b/>
        </w:rPr>
        <w:t>Dostawa oraz montaż dźwigu małotowarowego.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Przedmiot i zakres robót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Przedmiotem zamierzenia jest wykonanie robót budowlano-instalacyjnych związanych z  dostawą i zabudową nowego urządzenia dźwigowego.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Zakres robót obejmuje w szczególności: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Montaż urządzenia dźwigowego i maszynowni</w:t>
      </w: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roboty tynkarskie – wykonanie nowych i uzupełnienia istniejących wypraw tynkarskich</w:t>
      </w: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roboty posadzkowe – uzupełnienia posadzek z płytek ceramicznych, kamiennych i wykładzin winylowych w rejonie wykonywanych robót budowlano-montażowych</w:t>
      </w: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roboty wykończeniowe ścian – licowanie płytkami ceramicznymi</w:t>
      </w: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malowanie ścian i sufitów</w:t>
      </w:r>
    </w:p>
    <w:p w:rsidR="00373B6F" w:rsidRDefault="00373B6F" w:rsidP="00373B6F">
      <w:pPr>
        <w:pStyle w:val="Standard"/>
        <w:numPr>
          <w:ilvl w:val="1"/>
          <w:numId w:val="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wykonanie instalacji wewnętrznych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bookmarkStart w:id="0" w:name="page5"/>
      <w:bookmarkEnd w:id="0"/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Wyszczególnienie prac towarzyszących i robót tymczasowych.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0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Wykonanie zabezpieczeń z folii.</w:t>
      </w:r>
    </w:p>
    <w:p w:rsidR="00373B6F" w:rsidRDefault="00373B6F" w:rsidP="00373B6F">
      <w:pPr>
        <w:pStyle w:val="Standard"/>
        <w:numPr>
          <w:ilvl w:val="0"/>
          <w:numId w:val="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Wynoszenie i zabezpieczenie wyposażenia ruchomego.</w:t>
      </w:r>
    </w:p>
    <w:p w:rsidR="00373B6F" w:rsidRDefault="00373B6F" w:rsidP="00373B6F">
      <w:pPr>
        <w:pStyle w:val="Standard"/>
        <w:numPr>
          <w:ilvl w:val="0"/>
          <w:numId w:val="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Wywóz gruzu i złomu.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1.4.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Informacje o terenie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Roboty remontowo-budowlane prowadzone są wewnątrz budynku użyteczności publicznej, we wszystkich kondygnacjach ( 2 przystanki ) objętych działaniem dźwigu.</w:t>
      </w: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1.5.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Organizacja robót, przekazanie placu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Zamawiający przekaże wykonawcy teren budowy na zasadach i w terminie określonym w umowie o wykonanie robót oraz wskaże miejsca dostępu do wody, energii elektrycznej i WC.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1.6.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Zabezpieczenie interesów osób trzecich.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odpowiedzialny za przestrzeganie obowiązujących przepisów oraz powinien zapewnić ochronę własności publicznej i prywatnej.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odpowiedzialny za szkody spowodowane w trakcie wykonywania robót budowlanych.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1.7.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Wymagania dotyczące ochrony środowiska.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będzie podejmował wszelkie niezbędne działania, aby stosować się do przepisów i normatywów z zakresu ochrony środowiska na placu budowy i poza jego terenem.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Będzie unikał szkodliwych działań szczególnie w zakresie zanieczyszczeń powietrza, wód gruntowych, nadmiernego hałasu i innych szkodliwych dla środowiska i otoczenia czynników powodowanych działalnością przy wykonywaniu robót budowlanych.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1.8.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Warunki bezpieczeństwa pracy i ochrona przeciwpożarowa na budowie.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</w:pPr>
      <w:r>
        <w:rPr>
          <w:rFonts w:ascii="Verdana" w:eastAsia="Tahoma" w:hAnsi="Verdana" w:cs="Verdana"/>
        </w:rPr>
        <w:t>Wykonawca będzie przestrzegał przy realizacji robót przepisów BHP, a w szczególności</w:t>
      </w:r>
      <w:r>
        <w:t xml:space="preserve"> </w:t>
      </w:r>
      <w:r>
        <w:rPr>
          <w:rFonts w:ascii="Verdana" w:eastAsia="Tahoma" w:hAnsi="Verdana" w:cs="Verdana"/>
        </w:rPr>
        <w:t>zobowiązany jest wykluczyć pracę pracowników w warunkach niebezpiecznych, szkodliwych dla zdrowia i nie spełniających odpowiednich wymagań sanitarnych.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dostarczy na budowę i będzie utrzymywał wyposażenie konieczne dla zapewnienia bezpieczeństwa, a także zapewni odzież ochronną dla pracowników zatrudnionych na placu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</w:pPr>
      <w:r>
        <w:rPr>
          <w:rFonts w:ascii="Verdana" w:eastAsia="Tahoma" w:hAnsi="Verdana" w:cs="Verdana"/>
          <w:b/>
        </w:rPr>
        <w:t xml:space="preserve">Kierownik budowy, zgodnie z art. 21a ustawy </w:t>
      </w:r>
      <w:r>
        <w:rPr>
          <w:rFonts w:ascii="Verdana" w:eastAsia="Arial" w:hAnsi="Verdana" w:cs="Verdana"/>
          <w:b/>
          <w:i/>
        </w:rPr>
        <w:t>Prawo budowlane</w:t>
      </w:r>
      <w:r>
        <w:rPr>
          <w:rFonts w:ascii="Verdana" w:eastAsia="Tahoma" w:hAnsi="Verdana" w:cs="Verdana"/>
          <w:b/>
        </w:rPr>
        <w:t xml:space="preserve"> jest zobowiązany do sporządzenia planu BIOZ.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będzie stale utrzymywał wyposażenie przeciwpożarowe w stanie gotowości, zgodnie z zaleceniami odpowiednich przepisów bezpieczeństwa przeciwpożarowego.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1.9.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Warunki dotyczące organizacji ruchu.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Roboty nie wymagają opracowania i uzgodnienia z zarządem dróg projektu organizacji ruchu drogowego w rejonie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1.10. Organizacja planu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będzie zobowiązany do: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1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Wykonania planu organizacji robót, zapewniający możliwość utrzymania funkcjonowania obiektu w czasie prowadzenia robót;</w:t>
      </w:r>
    </w:p>
    <w:p w:rsidR="00373B6F" w:rsidRDefault="00373B6F" w:rsidP="00373B6F">
      <w:pPr>
        <w:pStyle w:val="Standard"/>
        <w:numPr>
          <w:ilvl w:val="0"/>
          <w:numId w:val="6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Utrzymania porządku na placu budowy;</w:t>
      </w:r>
    </w:p>
    <w:p w:rsidR="00373B6F" w:rsidRDefault="00373B6F" w:rsidP="00373B6F">
      <w:pPr>
        <w:pStyle w:val="Standard"/>
        <w:numPr>
          <w:ilvl w:val="0"/>
          <w:numId w:val="6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Składowania materiałów i elementów budowlanych wyłącznie w obrębie wydzielonego przez Zamawiającego terenu, zabezpieczonego tymczasowym ogrodzeniem;</w:t>
      </w:r>
    </w:p>
    <w:p w:rsidR="00373B6F" w:rsidRDefault="00373B6F" w:rsidP="00373B6F">
      <w:pPr>
        <w:pStyle w:val="Standard"/>
        <w:numPr>
          <w:ilvl w:val="0"/>
          <w:numId w:val="6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Utrzymania w czystości placu budowy oraz w strefie prowadzenia robót.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1.11. Zabezpieczenie chodników i jezdni.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Zakres robót nie wymaga projektu zabezpieczenia chodników i jezdni.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hAnsi="Verdana" w:cs="Verdana"/>
        </w:rPr>
      </w:pPr>
    </w:p>
    <w:p w:rsidR="00373B6F" w:rsidRDefault="00373B6F" w:rsidP="00373B6F">
      <w:pPr>
        <w:pStyle w:val="Standard"/>
        <w:numPr>
          <w:ilvl w:val="1"/>
          <w:numId w:val="26"/>
        </w:numPr>
        <w:spacing w:after="0" w:line="360" w:lineRule="auto"/>
        <w:ind w:left="10" w:firstLine="0"/>
        <w:jc w:val="both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Nazwy i kody: grup robót, klas robót i kategorii robót.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  <w:b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45215140-0 Roboty budowlane w zakresie obiektów szpitalnych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45313100-5 Instalowanie wind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42416100-6 Windy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45300000-0 Roboty instalacyjne w budynkach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45310000-3 Roboty instalacyjne  elektryczne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42961000-0 System sterowania i kontroli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50531400-0 Usługi w zakresie napraw i konserwacji dźwigów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71000000-8 Usługi architektoniczne, budowlane, inżynieryjne i kontrolne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</w:p>
    <w:p w:rsidR="00373B6F" w:rsidRDefault="00373B6F" w:rsidP="00373B6F">
      <w:pPr>
        <w:pStyle w:val="Standard"/>
        <w:spacing w:after="0" w:line="360" w:lineRule="auto"/>
        <w:ind w:right="-108"/>
        <w:jc w:val="both"/>
      </w:pPr>
      <w:r>
        <w:rPr>
          <w:rFonts w:ascii="Verdana" w:eastAsia="Arial" w:hAnsi="Verdana" w:cs="Verdana"/>
        </w:rPr>
        <w:t xml:space="preserve">CPV: </w:t>
      </w:r>
      <w:r>
        <w:rPr>
          <w:rFonts w:ascii="Verdana" w:hAnsi="Verdana" w:cs="Verdana"/>
        </w:rPr>
        <w:t>79930000 -2 Specjalne usługi projektowe</w:t>
      </w:r>
    </w:p>
    <w:p w:rsidR="00373B6F" w:rsidRDefault="00373B6F" w:rsidP="00373B6F">
      <w:pPr>
        <w:pStyle w:val="Standard"/>
        <w:spacing w:after="0" w:line="360" w:lineRule="auto"/>
        <w:ind w:right="-108"/>
        <w:jc w:val="both"/>
      </w:pPr>
    </w:p>
    <w:p w:rsidR="00373B6F" w:rsidRDefault="00373B6F" w:rsidP="00373B6F">
      <w:pPr>
        <w:pStyle w:val="Standard"/>
        <w:spacing w:after="0" w:line="360" w:lineRule="auto"/>
        <w:ind w:right="-108"/>
        <w:jc w:val="both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1.13. Określenia podstawowe.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Certyfikat zgodności </w:t>
      </w:r>
      <w:r>
        <w:rPr>
          <w:rFonts w:ascii="Verdana" w:eastAsia="Tahoma" w:hAnsi="Verdana" w:cs="Verdana"/>
        </w:rPr>
        <w:t>– jest to dokument,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że wyrób i proces jego wytwarzania są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zgodne ze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zharmonizowaną specyfikacją techniczną.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Deklaracja zgodności </w:t>
      </w:r>
      <w:r>
        <w:rPr>
          <w:rFonts w:ascii="Verdana" w:eastAsia="Tahoma" w:hAnsi="Verdana" w:cs="Verdana"/>
        </w:rPr>
        <w:t>– oświadczenie producenta lub jego upoważnionego przedstawiciela stwierdzające na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wyłączną odpowiedzialność, że wyrób jest zgodny ze zharmonizowaną specyfikacją techniczną.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Arial" w:hAnsi="Verdana" w:cs="Verdana"/>
          <w:b/>
          <w:i/>
        </w:rPr>
        <w:t xml:space="preserve">Dokumentacja rysunkowa </w:t>
      </w:r>
      <w:r>
        <w:rPr>
          <w:rFonts w:ascii="Verdana" w:eastAsia="Tahoma" w:hAnsi="Verdana" w:cs="Verdana"/>
        </w:rPr>
        <w:t>– służąca do opisu przedmiotu zamówienia na wykonanie robót budowlanych.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Grupy, klasy, kategorie robót </w:t>
      </w:r>
      <w:r>
        <w:rPr>
          <w:rFonts w:ascii="Verdana" w:eastAsia="Tahoma" w:hAnsi="Verdana" w:cs="Verdana"/>
        </w:rPr>
        <w:t>– należy przez to rozumieć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grupy, klasy, kategorie określone w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rozporządzeniu nr 2195/2002 z dnia 5 listopada 2002 w sprawie Wspólnego Słownika Zamówień (</w:t>
      </w:r>
      <w:proofErr w:type="spellStart"/>
      <w:r>
        <w:rPr>
          <w:rFonts w:ascii="Verdana" w:eastAsia="Tahoma" w:hAnsi="Verdana" w:cs="Verdana"/>
        </w:rPr>
        <w:t>Dz.Urz</w:t>
      </w:r>
      <w:proofErr w:type="spellEnd"/>
      <w:r>
        <w:rPr>
          <w:rFonts w:ascii="Verdana" w:eastAsia="Tahoma" w:hAnsi="Verdana" w:cs="Verdana"/>
        </w:rPr>
        <w:t xml:space="preserve">. L 340 z 16.12.2002 r., z </w:t>
      </w:r>
      <w:proofErr w:type="spellStart"/>
      <w:r>
        <w:rPr>
          <w:rFonts w:ascii="Verdana" w:eastAsia="Tahoma" w:hAnsi="Verdana" w:cs="Verdana"/>
        </w:rPr>
        <w:t>późn</w:t>
      </w:r>
      <w:proofErr w:type="spellEnd"/>
      <w:r>
        <w:rPr>
          <w:rFonts w:ascii="Verdana" w:eastAsia="Tahoma" w:hAnsi="Verdana" w:cs="Verdana"/>
        </w:rPr>
        <w:t>. zm.)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Obmiar robót </w:t>
      </w:r>
      <w:r>
        <w:rPr>
          <w:rFonts w:ascii="Verdana" w:eastAsia="Tahoma" w:hAnsi="Verdana" w:cs="Verdana"/>
        </w:rPr>
        <w:t>– pomiar wykonanych robót budowlanych, dokonanych w celu weryfikacji ich ilości w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przypadku zmiany parametrów przyjętych w przedmiarze robót, albo obliczenia wartości robót dodatkowych, nie objętych przedmiarem.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Odbiór częściowy (robót budowlanych) </w:t>
      </w:r>
      <w:r>
        <w:rPr>
          <w:rFonts w:ascii="Verdana" w:eastAsia="Tahoma" w:hAnsi="Verdana" w:cs="Verdana"/>
        </w:rPr>
        <w:t>– nieformalna nazwa odbioru robót ulegających zakryciu i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zanikających, a także dokonywanie prób i sprawdzeń instalacji, urządzeń technicznych i przewodów kominowych. Odbiorem częściowym nazywa się także odbiór części obiektu budowlanego wykonanego w stanie nadającym się do użytkowania, przed zgłoszeniem do odbioru całego obiektu budowlanego, który jest traktowany jako „odbiór końcowy”.</w:t>
      </w: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Odbiór gotowego obiektu budowlanego </w:t>
      </w:r>
      <w:r>
        <w:rPr>
          <w:rFonts w:ascii="Verdana" w:eastAsia="Tahoma" w:hAnsi="Verdana" w:cs="Verdana"/>
        </w:rPr>
        <w:t>– formalna nazwa czynności zwanym też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„odbiorem końcowym”,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polegającym na protokolarnym przejęciu (odbiorze) od wykonawcy gotowego obiektu budowlanego przez osobę lub grupę osób o odpowiednich kwalifikacjach zawodowych, wyznaczoną przez inwestora. Odbioru dokonuje się po zgłoszeniu przez kierownika budowy faktu zakończenia robót budowlanych, łącznie z uporządkowaniem terenu budowy i ewentualnie terenów przyległych, wykorzystywanych jako plac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373B6F" w:rsidRDefault="00373B6F" w:rsidP="00373B6F">
      <w:pPr>
        <w:pStyle w:val="Standard"/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Przedmiar robót </w:t>
      </w:r>
      <w:r>
        <w:rPr>
          <w:rFonts w:ascii="Verdana" w:eastAsia="Tahoma" w:hAnsi="Verdana" w:cs="Verdana"/>
        </w:rPr>
        <w:t>– to zestawienie przewidzianych do wykonania robót podstawowych w kolejności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technologicznej ich wykonania, z wyliczeniem i zestawieniem ilości jednostek przedmiarowych robót podstawowych.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Roboty podstawowe </w:t>
      </w:r>
      <w:r>
        <w:rPr>
          <w:rFonts w:ascii="Verdana" w:eastAsia="Tahoma" w:hAnsi="Verdana" w:cs="Verdana"/>
        </w:rPr>
        <w:t>– minimalny zakres prac, które po wykonaniu są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możliwe do odebrania pod względem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ilości i wymogów jakościowych oraz uwzględniają przyjęty stopień scalenia robót.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Wspólny Słownik Zamówień </w:t>
      </w:r>
      <w:r>
        <w:rPr>
          <w:rFonts w:ascii="Verdana" w:eastAsia="Tahoma" w:hAnsi="Verdana" w:cs="Verdana"/>
        </w:rPr>
        <w:t>– jest to system klasyfikacji produktów, usług i robót budowlanych,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stworzonym na potrzeby zamówień publicznych.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Wyrób budowlany </w:t>
      </w:r>
      <w:r>
        <w:rPr>
          <w:rFonts w:ascii="Verdana" w:eastAsia="Tahoma" w:hAnsi="Verdana" w:cs="Verdana"/>
        </w:rPr>
        <w:t>– należy przez to rozumieć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wyrób w rozumieniu przepisów o wyrobach budowlanych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wytworzony w celu wbudowania, wmontowania, zainstalowania lub zastosowania w sposób trwały w obiekcie budowlanym wprowadzony do obrotu jako wyrób pojedynczy lub jako zestaw wyrobów do stosowania we wzajemnym połączeniu stanowiącym integralną całość użytkową.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5"/>
      </w:pPr>
      <w:r>
        <w:rPr>
          <w:rFonts w:ascii="Verdana" w:eastAsia="Times New Roman" w:hAnsi="Verdana" w:cs="Verdana"/>
          <w:b/>
          <w:bCs/>
        </w:rPr>
        <w:t>2</w:t>
      </w:r>
      <w:r>
        <w:rPr>
          <w:rFonts w:ascii="Verdana" w:eastAsia="Times New Roman" w:hAnsi="Verdana" w:cs="Verdana"/>
        </w:rPr>
        <w:t xml:space="preserve">. </w:t>
      </w:r>
      <w:r>
        <w:rPr>
          <w:rFonts w:ascii="Verdana" w:eastAsia="Tahoma" w:hAnsi="Verdana" w:cs="Verdana"/>
          <w:b/>
        </w:rPr>
        <w:t>Wymagania dotyczące zastosowanych materiałów.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2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Przy wykonywaniu robót budowlanych mogą być stosowane wyłączenie wyroby budowlane o właściwościach użytkowych umożliwiających prawidłowo zaprojektowanym i wykonanym obiektom budowlanym spełnienie wymagań podstawowych, określonych w art. 5 ust. 1 pkt. 1 ustawy Prawo budowlane – dopuszczone do obrotu i powszechnego lub jednostkowego stosowania w budownictwie.</w:t>
      </w:r>
    </w:p>
    <w:p w:rsidR="00373B6F" w:rsidRDefault="00373B6F" w:rsidP="00373B6F">
      <w:pPr>
        <w:pStyle w:val="Standard"/>
        <w:numPr>
          <w:ilvl w:val="0"/>
          <w:numId w:val="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odpowiedzialny, aby wszystkie materiały, elementy budowlane i urządzenia wbudowane, montowane lub instalowane odpowiadały wymaganiom określonym a art. 10 ustawy Prawo budowlane.</w:t>
      </w:r>
    </w:p>
    <w:p w:rsidR="00373B6F" w:rsidRDefault="00373B6F" w:rsidP="00373B6F">
      <w:pPr>
        <w:pStyle w:val="Standard"/>
        <w:numPr>
          <w:ilvl w:val="0"/>
          <w:numId w:val="7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przedstawi Inspektorowi nadzoru szczegółowe informacje dotyczące, zamawiania lub wydobywania materiałów i odpowiednie aprobaty techniczne lub świadectwa badań laboratoryjnych oraz próbki do zatwierdzenia przez Inspektora nadzoru.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Arial" w:hAnsi="Verdana" w:cs="Verdana"/>
        </w:rPr>
      </w:pPr>
    </w:p>
    <w:p w:rsidR="00373B6F" w:rsidRDefault="00373B6F" w:rsidP="00373B6F">
      <w:pPr>
        <w:pStyle w:val="Standard"/>
        <w:numPr>
          <w:ilvl w:val="0"/>
          <w:numId w:val="7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zobowiązany jest do prowadzenia ciągłych badań określonych w ST w celu udokumentowania że materiały uzyskane z dopuszczalnego źródła spełniają wymagania ST w czasie postępu robót.</w:t>
      </w:r>
    </w:p>
    <w:p w:rsidR="00373B6F" w:rsidRDefault="00373B6F" w:rsidP="00373B6F">
      <w:pPr>
        <w:pStyle w:val="Standard"/>
        <w:numPr>
          <w:ilvl w:val="0"/>
          <w:numId w:val="7"/>
        </w:numPr>
        <w:tabs>
          <w:tab w:val="left" w:pos="740"/>
        </w:tabs>
        <w:spacing w:after="0" w:line="360" w:lineRule="auto"/>
        <w:ind w:left="370" w:hanging="370"/>
      </w:pPr>
      <w:r>
        <w:rPr>
          <w:rFonts w:ascii="Verdana" w:eastAsia="Tahoma" w:hAnsi="Verdana" w:cs="Verdana"/>
        </w:rPr>
        <w:t>Pozostałe materiały budowlane powinny spełniać wymagania jakościowe określone Polskimi Normami, aprobatami technicznymi, o których mowa w Szczegółowych Specyfikacjach Technicznych.</w:t>
      </w:r>
      <w:r>
        <w:rPr>
          <w:rFonts w:ascii="Verdana" w:eastAsia="Verdana" w:hAnsi="Verdana" w:cs="Verdana"/>
          <w:i/>
        </w:rPr>
        <w:t xml:space="preserve">   </w:t>
      </w:r>
      <w:r>
        <w:rPr>
          <w:rFonts w:ascii="Verdana" w:eastAsia="Times New Roman" w:hAnsi="Verdana" w:cs="Verdana"/>
        </w:rPr>
        <w:tab/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Materiały nie odpowiadające wymaganiom jakościowym.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Materiały nie odpowiadające wymaganiom jakościowym zostaną przez Wykonawcę wywiezione z terenu budowy, bądź złożone w miejscu wskazanym przez Inspektora nadzoru.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Każdy rodzaj robót, w którym znajdują się niezbadane i nie zaakceptowane materiały, Wykonawca wykonuje na własne ryzyko, licząc się z jego nie przyjęciem i niezapłaceniem.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Przechowywanie i składowanie materiałów.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zapewni, aby tymczasowo składowane materiały, do czasu, gdy będą one potrzebne do robót, były zabezpieczone przed zanieczyszczeniem, zachowały swoją jakość i właściwość do robót i były dostępne do kontroli przez Inspektora nadzoru.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Miejsca czasowego składowania materiałów będą zlokalizowane w obrębie terenu budowy w miejscach uzgodnionych z Inspektorem nadzoru.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3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Wymagania dotyczące sprzętu i maszyn.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zobowiązany do używania jedynie takiego sprzętu, który nie spowoduje niekorzystnego wpływu na jakość wykonywanych robót.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Sprzęt używany do robót powinien być zgodny z ofertą Wykonawcy i powinien odpowiadać pod względem typów i ilości wskazaniom zawartym w ST, programie zapewnienia jakości lub projekcie organizacji robót, zaakceptowanym przez Inspektora nadzoru.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Liczba i wydajność sprzętu będzie gwarantować przeprowadzenie robót, zgodnie z zasadami określonymi w dokumentacji projektowej, ST i wskazaniach Inspektora nadzoru w terminie przewidzianym umową.</w:t>
      </w: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dostarczy Inspektorowi nadzoru kopie dokumentów potwierdzających dopuszczenie sprzętu do użytkowania tam gdzie jest to wymagane przepisami.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Jeżeli dokumentacja projektowa lub ST przewidują możliwość wariantowego użycia sprzętu przy wykonywanych robotach, wykonawca powiadomi Inspektora nadzoru o swoim zamiarze wyboru i uzyska jego akceptację przed użyciem sprzętu.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Wybrany sprzęt, po akceptacji Inspektora nadzoru, nie może być później zmieniany bez jego zgody.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Jakikolwiek sprzęt, maszyny i urządzenia nie gwarantujące realizację umowy mogą być niedopuszczone do realizacji robót.</w:t>
      </w:r>
    </w:p>
    <w:p w:rsidR="00373B6F" w:rsidRDefault="00373B6F" w:rsidP="00373B6F">
      <w:pPr>
        <w:pStyle w:val="Standard"/>
        <w:numPr>
          <w:ilvl w:val="0"/>
          <w:numId w:val="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zobowiązany do stosowania tylko takich środków transportu, które nie wpłyną na stan i jakość transportowanych materiałów.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Wymagania dotyczące środków transportu.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zobowiązany do stosowania tylko takich środków transportu, które nie wpłyną na stan i jakość transportowanych materiałów.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6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Wymagania dotyczące wykonania robót.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5.1.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Wykonawca jest odpowiedzialny za prowadzenie robót zgodnie z umową lub kontraktem oraz za jakość zastosowanych materiałów i wykonywanych robót, za ich zgodność z dokumentacją projektową wymaganiami ST, PZJ, projektu projektem organizacji robót oraz poleceniami Inspektora nadzoru.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Decyzje Inspektora nadzoru dotyczące akceptacji lub odrzucenia materiałów i elementów robót będą oparte na wymaganiach sformułowanych w dokumentach umowy, dokumentacji projektowej i w ST, a także w normach i wytycznych.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Polecenia Inspektora nadzoru dotyczące realizacji robót będą wykonywane przez Wykonawcę nie później niż w czasie przez niego wyznaczonym, pod groźbą wstrzymania robót.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Skutki finansowe z tytułu wstrzymania robót w takiej sytuacji ponosi Wykonawca.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5.2.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Roboty budowlano instalacyjne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hAnsi="Verdana" w:cs="Verdana"/>
        </w:rPr>
        <w:t>- wykonanie niezbędnych robót rozbiórkowych i demontażowych związanych z przedmiotem   zamówienia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przygotowanie ściany zewnętrznej z osadzonymi drzwiami szybowymi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Powyższe wykończenie należy wykonać na wszystkich kondygnacjach (2 przystanki).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wykonanie niezbędnych instalacji zasilających i oświetleniowych, sygnalizacyjnych, itp.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związanych z instalacją dźwigu,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wykonanie robót naprawczych i wykończeniowych związanych z wymianą dźwigu,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- wykonanie robót budowlanych dostosowawczych w obrębie szybu, maszynowni, ściany  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instalacja oświetlenia w szybie windy i w maszynowni, w celu dostosowania go do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Verdana" w:hAnsi="Verdana" w:cs="Verdana"/>
        </w:rPr>
        <w:t xml:space="preserve">  </w:t>
      </w:r>
      <w:r>
        <w:rPr>
          <w:rFonts w:ascii="Verdana" w:hAnsi="Verdana" w:cs="Verdana"/>
        </w:rPr>
        <w:t>obowiązujących przepisów,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inne konieczne do wykonanie prace budowlane,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wentylacja szybu, kabiny, maszynowni zgodnie z obowiązującymi przepisami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Osoby prowadzące roboty powinny posiadać stosowne uprawnienia związane z zakresem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hAnsi="Verdana" w:cs="Verdana"/>
          <w:sz w:val="21"/>
        </w:rPr>
      </w:pPr>
      <w:r>
        <w:rPr>
          <w:rFonts w:ascii="Verdana" w:hAnsi="Verdana" w:cs="Verdana"/>
          <w:sz w:val="21"/>
        </w:rPr>
        <w:t>prowadzonych robót.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hAnsi="Verdana" w:cs="Verdana"/>
          <w:sz w:val="21"/>
        </w:rPr>
      </w:pPr>
    </w:p>
    <w:p w:rsidR="00373B6F" w:rsidRDefault="00373B6F" w:rsidP="00373B6F">
      <w:pPr>
        <w:pStyle w:val="Standard"/>
        <w:numPr>
          <w:ilvl w:val="1"/>
          <w:numId w:val="27"/>
        </w:numPr>
        <w:spacing w:after="0" w:line="360" w:lineRule="auto"/>
        <w:ind w:left="10" w:firstLine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Dostawa i montaż dźwigu.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hAnsi="Verdana" w:cs="Verdana"/>
        </w:rPr>
      </w:pPr>
      <w:r>
        <w:rPr>
          <w:rFonts w:ascii="Verdana" w:hAnsi="Verdana" w:cs="Verdana"/>
        </w:rPr>
        <w:t>Zakres prac montażowych: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demontaż istniejącego zespołu urządzeń dźwigu,  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b) przekazanie zdemontowanych elementów upoważnionemu pracownikowi szpitala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i złożenie ich  w wyznaczonym przez Zamawiającego do tego celu miejscu,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c)montaż wyposażenia szybu wraz z urządzeniami, wyposażeniem,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d) odbiór i przekazanie do użytkowania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Prace dokumentacyjne i badanie, w tym: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wykonanie kompletnej dokumentacji technicznej,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wykonanie dokumentacji  dźwigu  niezbędnej  do rejestracji przez Urząd Dozoru  Technicznego,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wykonanie niezbędnych badań, prób ruchowych, regulacji,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uczestnictwo w odbiorze dźwigu przez UDT z opłaceniem przez Wykonawcę kosztów</w:t>
      </w:r>
      <w:r>
        <w:rPr>
          <w:rFonts w:ascii="Verdana" w:eastAsia="Tahoma" w:hAnsi="Verdana" w:cs="Verdana"/>
        </w:rPr>
        <w:t xml:space="preserve">  </w:t>
      </w:r>
      <w:r>
        <w:rPr>
          <w:rFonts w:ascii="Verdana" w:hAnsi="Verdana" w:cs="Verdana"/>
        </w:rPr>
        <w:t>badania i rejestracji,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przekazanie dźwigu do eksploatacji (decyzja UDT),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hAnsi="Verdana" w:cs="Verdana"/>
        </w:rPr>
      </w:pPr>
      <w:r>
        <w:rPr>
          <w:rFonts w:ascii="Verdana" w:hAnsi="Verdana" w:cs="Verdana"/>
        </w:rPr>
        <w:t>Wraz z dokumentami, w tym kartami gwarancyjnymi, instrukcjami. /Wymóg dostarczenia dokumentacji w języku polskim/</w:t>
      </w: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  <w:bCs/>
        </w:rPr>
      </w:pPr>
      <w:r>
        <w:rPr>
          <w:rFonts w:ascii="Verdana" w:eastAsia="Tahoma" w:hAnsi="Verdana" w:cs="Verdana"/>
          <w:b/>
          <w:bCs/>
        </w:rPr>
        <w:t>5.4 Parametry techniczne urządzenia 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5.4.1. Dźwig towarowy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hAnsi="Verdana" w:cs="Verdana"/>
        </w:rPr>
        <w:t xml:space="preserve">1. Udźwig minimum </w:t>
      </w:r>
      <w:r>
        <w:rPr>
          <w:rFonts w:ascii="Verdana" w:hAnsi="Verdana" w:cs="Verdana"/>
          <w:b/>
        </w:rPr>
        <w:t>100  kg,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2. Wymiary szybu „ bez zmian” /wykonawca dokona obmiaru/,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hAnsi="Verdana" w:cs="Verdana"/>
        </w:rPr>
        <w:t>3. Liczba przystanków</w:t>
      </w:r>
      <w:r>
        <w:rPr>
          <w:rFonts w:ascii="Verdana" w:hAnsi="Verdana" w:cs="Verdana"/>
          <w:b/>
        </w:rPr>
        <w:t xml:space="preserve">  2,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6. Kontrola Jakości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Wymagana jakość materiałów powinna być potwierdzona przez producenta zaświadczeniem o jakości lub znakiem kontroli jakości zamieszczonym na opakowaniu lub innym równorzędnym dokumentem,</w:t>
      </w:r>
    </w:p>
    <w:p w:rsidR="00373B6F" w:rsidRDefault="00373B6F" w:rsidP="00373B6F">
      <w:pPr>
        <w:pStyle w:val="Standard"/>
        <w:numPr>
          <w:ilvl w:val="0"/>
          <w:numId w:val="1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Nie dopuszcza się stosowania do robót materiałów, których właściwości nie odpowiadają wymaganiom przedmiotowych norm,</w:t>
      </w:r>
    </w:p>
    <w:p w:rsidR="00373B6F" w:rsidRDefault="00373B6F" w:rsidP="00373B6F">
      <w:pPr>
        <w:pStyle w:val="Standard"/>
        <w:numPr>
          <w:ilvl w:val="0"/>
          <w:numId w:val="1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Nie należy również stosować materiałów przeterminowanych,</w:t>
      </w:r>
    </w:p>
    <w:p w:rsidR="00373B6F" w:rsidRDefault="00373B6F" w:rsidP="00373B6F">
      <w:pPr>
        <w:pStyle w:val="Standard"/>
        <w:numPr>
          <w:ilvl w:val="0"/>
          <w:numId w:val="1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Należy przeprowadzić kontrolę dotrzymania warunków ogólnych wykonania robót (cieplnych, wilgotnościowych).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Kontrola stanu technicznego powierzchni do malowania obejmuje: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38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wyglądu powierzchni,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b)  Sprawdzenie wyschnięcia podłoża,</w:t>
      </w:r>
    </w:p>
    <w:p w:rsidR="00373B6F" w:rsidRDefault="00373B6F" w:rsidP="00373B6F">
      <w:pPr>
        <w:pStyle w:val="Standard"/>
        <w:numPr>
          <w:ilvl w:val="0"/>
          <w:numId w:val="3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czystości,</w:t>
      </w:r>
    </w:p>
    <w:p w:rsidR="00373B6F" w:rsidRDefault="00373B6F" w:rsidP="00373B6F">
      <w:pPr>
        <w:pStyle w:val="Standard"/>
        <w:numPr>
          <w:ilvl w:val="0"/>
          <w:numId w:val="14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wyglądu powierzchni pod malowanie należy wykonać przez oględziny zewnętrzne.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Kontrola instalacji elektrycznej obejmuje:</w:t>
      </w:r>
    </w:p>
    <w:p w:rsidR="00373B6F" w:rsidRDefault="00373B6F" w:rsidP="00373B6F">
      <w:pPr>
        <w:pStyle w:val="Standard"/>
        <w:numPr>
          <w:ilvl w:val="0"/>
          <w:numId w:val="40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rezystancji obwodów,</w:t>
      </w:r>
    </w:p>
    <w:p w:rsidR="00373B6F" w:rsidRDefault="00373B6F" w:rsidP="00373B6F">
      <w:pPr>
        <w:pStyle w:val="Standard"/>
        <w:numPr>
          <w:ilvl w:val="0"/>
          <w:numId w:val="1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skuteczności zerowania,</w:t>
      </w:r>
    </w:p>
    <w:p w:rsidR="00373B6F" w:rsidRDefault="00373B6F" w:rsidP="00373B6F">
      <w:pPr>
        <w:pStyle w:val="Standard"/>
        <w:numPr>
          <w:ilvl w:val="0"/>
          <w:numId w:val="1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Sprawdzenie poprawności połączeń i montażu osprzętu.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1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Obmiar robót.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Zasady określania ilości robót i materiałów.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Zasady określania ilości robót podane są w odpowiednich specyfikacjach technicznych i lub w KNR-ach oraz KNNR-ach. Jednostki obmiaru powinny zgodne z jednostkami określonymi w dokumentacji projektowej i kosztorysowej przedmiarze robót.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Urządzenia i sprzęt pomiarowy.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Wszystkie urządzenia i sprzęt pomiarowy, stosowany w czasie obmiaru robót będą zaakceptowane przez Inspektora nadzoru.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Urządzenia i sprzęt pomiarowy zostaną dostarczone przez Wykonawcę, jeżeli urządzenia te lub sprzęt wymagają badań atestujących, to Wykonawca będzie posiadać ważne świadectwa legalizacji.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Wszystkie urządzenia pomiarowe będą przez Wykonawcę utrzymywane w dobrym stanie, w całym okresie trwania robót.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Jednostki obmiarowe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tynkarskich – m2;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okładzinowych – m2;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izolacyjnych – m2;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malarskich – m2;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posadzkarskich – m2;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 xml:space="preserve">dla robót w zakresie przewodów </w:t>
      </w:r>
      <w:proofErr w:type="spellStart"/>
      <w:r>
        <w:rPr>
          <w:rFonts w:ascii="Verdana" w:eastAsia="Tahoma" w:hAnsi="Verdana" w:cs="Verdana"/>
        </w:rPr>
        <w:t>elektr</w:t>
      </w:r>
      <w:proofErr w:type="spellEnd"/>
      <w:r>
        <w:rPr>
          <w:rFonts w:ascii="Verdana" w:eastAsia="Tahoma" w:hAnsi="Verdana" w:cs="Verdana"/>
        </w:rPr>
        <w:t xml:space="preserve">. – </w:t>
      </w:r>
      <w:proofErr w:type="spellStart"/>
      <w:r>
        <w:rPr>
          <w:rFonts w:ascii="Verdana" w:eastAsia="Tahoma" w:hAnsi="Verdana" w:cs="Verdana"/>
        </w:rPr>
        <w:t>mb</w:t>
      </w:r>
      <w:proofErr w:type="spellEnd"/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 xml:space="preserve">dla robót w zakresie osprzętu </w:t>
      </w:r>
      <w:proofErr w:type="spellStart"/>
      <w:r>
        <w:rPr>
          <w:rFonts w:ascii="Verdana" w:eastAsia="Tahoma" w:hAnsi="Verdana" w:cs="Verdana"/>
        </w:rPr>
        <w:t>elektr</w:t>
      </w:r>
      <w:proofErr w:type="spellEnd"/>
      <w:r>
        <w:rPr>
          <w:rFonts w:ascii="Verdana" w:eastAsia="Tahoma" w:hAnsi="Verdana" w:cs="Verdana"/>
        </w:rPr>
        <w:t>. – szt.;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w zakresie armatury sanitarnej – szt.;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stolarskich – szt.;</w:t>
      </w: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/>
        <w:rPr>
          <w:rFonts w:ascii="Verdana" w:eastAsia="Tahom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ahoma" w:hAnsi="Verdana" w:cs="Verdana"/>
        </w:rPr>
      </w:pPr>
      <w:bookmarkStart w:id="1" w:name="_GoBack"/>
      <w:bookmarkEnd w:id="1"/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 xml:space="preserve">przewody rurowe – </w:t>
      </w:r>
      <w:proofErr w:type="spellStart"/>
      <w:r>
        <w:rPr>
          <w:rFonts w:ascii="Verdana" w:eastAsia="Tahoma" w:hAnsi="Verdana" w:cs="Verdana"/>
        </w:rPr>
        <w:t>mb</w:t>
      </w:r>
      <w:proofErr w:type="spellEnd"/>
      <w:r>
        <w:rPr>
          <w:rFonts w:ascii="Verdana" w:eastAsia="Tahoma" w:hAnsi="Verdana" w:cs="Verdana"/>
        </w:rPr>
        <w:t>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wywóz gruzu – m3;</w:t>
      </w:r>
    </w:p>
    <w:p w:rsidR="00373B6F" w:rsidRDefault="00373B6F" w:rsidP="00373B6F">
      <w:pPr>
        <w:pStyle w:val="Standard"/>
        <w:numPr>
          <w:ilvl w:val="0"/>
          <w:numId w:val="1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praca sprzętu – mg.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3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Odbiór robót.</w:t>
      </w: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4"/>
        </w:numPr>
        <w:tabs>
          <w:tab w:val="left" w:pos="740"/>
        </w:tabs>
        <w:spacing w:after="0" w:line="360" w:lineRule="auto"/>
        <w:ind w:left="370" w:right="386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Podstawą do odbioru robót stanowią następujące dokumenty:</w:t>
      </w:r>
    </w:p>
    <w:p w:rsidR="00373B6F" w:rsidRDefault="00373B6F" w:rsidP="00373B6F">
      <w:pPr>
        <w:pStyle w:val="Standard"/>
        <w:tabs>
          <w:tab w:val="left" w:pos="740"/>
        </w:tabs>
        <w:spacing w:after="0" w:line="360" w:lineRule="auto"/>
        <w:ind w:left="370" w:right="3860"/>
      </w:pPr>
      <w:r>
        <w:rPr>
          <w:rFonts w:ascii="Verdana" w:eastAsia="Times New Roman" w:hAnsi="Verdana" w:cs="Verdana"/>
        </w:rPr>
        <w:t xml:space="preserve">- </w:t>
      </w:r>
      <w:r>
        <w:rPr>
          <w:rFonts w:ascii="Verdana" w:eastAsia="Tahoma" w:hAnsi="Verdana" w:cs="Verdana"/>
        </w:rPr>
        <w:t>dokumentacja techniczna (rysunkowa);</w:t>
      </w:r>
    </w:p>
    <w:p w:rsidR="00373B6F" w:rsidRDefault="00373B6F" w:rsidP="00373B6F">
      <w:pPr>
        <w:pStyle w:val="Standard"/>
        <w:numPr>
          <w:ilvl w:val="1"/>
          <w:numId w:val="20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dziennik budowy z zapisami stwierdzającymi odbiory częściowe podłoża oraz poszczególnych warstw lub fragmentów pokrycia;</w:t>
      </w:r>
    </w:p>
    <w:p w:rsidR="00373B6F" w:rsidRDefault="00373B6F" w:rsidP="00373B6F">
      <w:pPr>
        <w:pStyle w:val="Standard"/>
        <w:numPr>
          <w:ilvl w:val="1"/>
          <w:numId w:val="20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zapisy dotyczące wykonania robót i rodzaju zastosowanych materiałów;</w:t>
      </w:r>
    </w:p>
    <w:p w:rsidR="00373B6F" w:rsidRDefault="00373B6F" w:rsidP="00373B6F">
      <w:pPr>
        <w:pStyle w:val="Standard"/>
        <w:numPr>
          <w:ilvl w:val="1"/>
          <w:numId w:val="20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protokoły odbioru materiałów i wyrobów.</w:t>
      </w:r>
    </w:p>
    <w:p w:rsidR="00373B6F" w:rsidRDefault="00373B6F" w:rsidP="00373B6F">
      <w:pPr>
        <w:pStyle w:val="Standard"/>
        <w:numPr>
          <w:ilvl w:val="0"/>
          <w:numId w:val="20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końcowy polega na dokładnym sprawdzeniu stanu wykonania robót.</w:t>
      </w:r>
    </w:p>
    <w:p w:rsidR="00373B6F" w:rsidRDefault="00373B6F" w:rsidP="00373B6F">
      <w:pPr>
        <w:pStyle w:val="Standard"/>
        <w:numPr>
          <w:ilvl w:val="0"/>
          <w:numId w:val="20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Wyniki odbiorów materiałów i robót powinny być każdorazowo wpisane do dziennika budowy.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Odbiór robót zanikających i ulegających zakryciu.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robót zanikających i ulegających zakryciu polega na finalnej ocenie jakości wykonywanych robót oraz ilości tych robót, które w dalszym procesie realizacji ulegną zakryciu.</w:t>
      </w:r>
    </w:p>
    <w:p w:rsidR="00373B6F" w:rsidRDefault="00373B6F" w:rsidP="00373B6F">
      <w:pPr>
        <w:pStyle w:val="Standard"/>
        <w:numPr>
          <w:ilvl w:val="0"/>
          <w:numId w:val="21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robót zanikających i ulegających zakryciu będzie dokonany w czasie umożliwiającym wykonanie ewentualnych korekt i poprawek bez hamowania ogólnego postępu robót. Odbioru tego dokonuje Inspektor nadzoru.</w:t>
      </w:r>
    </w:p>
    <w:p w:rsidR="00373B6F" w:rsidRDefault="00373B6F" w:rsidP="00373B6F">
      <w:pPr>
        <w:pStyle w:val="Standard"/>
        <w:numPr>
          <w:ilvl w:val="0"/>
          <w:numId w:val="21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Gotowość danej części robót do odbioru zgłasza wykonawca wpisem do dziennika budowy i jednoczesnym powiadomieniem Inspektora nadzoru.</w:t>
      </w:r>
    </w:p>
    <w:p w:rsidR="00373B6F" w:rsidRDefault="00373B6F" w:rsidP="00373B6F">
      <w:pPr>
        <w:pStyle w:val="Standard"/>
        <w:numPr>
          <w:ilvl w:val="0"/>
          <w:numId w:val="21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będzie przeprowadzony niezwłocznie, nie później jednak niż w ciągu 3 dni od daty zgłoszenia wpisem do dziennika budowy i powiadomienia o tym fakcie Inspektora nadzoru.</w:t>
      </w:r>
    </w:p>
    <w:p w:rsidR="00373B6F" w:rsidRDefault="00373B6F" w:rsidP="00373B6F">
      <w:pPr>
        <w:pStyle w:val="Standard"/>
        <w:numPr>
          <w:ilvl w:val="0"/>
          <w:numId w:val="21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Jakość i ilość robót ulegających zakryciu ocenia Inspektor nadzoru na podstawie dokumentów zawierających komplet wyników badań laboratoryjnych i w oparciu o przeprowadzone pomiary, w konfrontacji z dokumentacją projektową i uprzednimi ustaleniami.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373B6F" w:rsidRDefault="00373B6F" w:rsidP="00373B6F">
      <w:pPr>
        <w:pStyle w:val="Standard"/>
        <w:tabs>
          <w:tab w:val="left" w:pos="71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Zasady odbioru ostatecznego robót.</w:t>
      </w:r>
    </w:p>
    <w:p w:rsidR="00373B6F" w:rsidRDefault="00373B6F" w:rsidP="00373B6F">
      <w:pPr>
        <w:pStyle w:val="Standard"/>
        <w:numPr>
          <w:ilvl w:val="0"/>
          <w:numId w:val="46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ostateczny polega na finalnej ocenie rzeczywistego wykonania robót w odniesieniu do zakresu (ilości) oraz jakości.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Całkowite zakończenie robót oraz gotowość do odbioru ostatecznego będzie stwierdzona przez Wykonawcę wpisem do dziennika budowy.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ostateczny robót nastąpi w terminie ustalonym w dokumentach umowy, licząc od dnia potwierdzenia przez Inspektora nadzoru zakończenia robót i przyjęcia dokumentów.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Odbioru ostatecznego robót dokona komisja wyznaczona przez Zamawiającego w obecności Inspektora nadzoru i Wykonawcy.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Komisja odbierająca roboty dokona ich oceny jakościowej na podstawie przedłożonych dokumentów, wyników badań i pomiarów, ocenie wizualnej oraz zgodności wykonania robót z dokumentacją projektową i ST.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 toku odbioru ostatecznego robót, komisja zapozna się z realizacją ustaleń przyjętych w trakcie odbiorów robót zanikających i ulegających zakryciu oraz odbiorów częściowych, zwłaszcza w zakresie wykonania robót uzupełniających i robót poprawkowych.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373B6F" w:rsidRDefault="00373B6F" w:rsidP="00373B6F">
      <w:pPr>
        <w:pStyle w:val="Standard"/>
        <w:numPr>
          <w:ilvl w:val="0"/>
          <w:numId w:val="22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 przypadku stwierdzenia przez komisję, że jakość wykonywanych robót w poszczególnych asortymentach nieznacznie odbiega od wymaganej dokumentacją projektową i ST z uwzględnieniem tolerancji i nie ma większego wpływu na cechy eksploatacyjne obiektu, komisja oceni pomniejszoną wartość wykonywanych robót w stosunku do wymagań przyjętych w dokumentach umowy.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  <w:bookmarkStart w:id="2" w:name="page23"/>
      <w:bookmarkEnd w:id="2"/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8.4. Odbiór pogwarancyjny po upływie okresu rękojmi i gwarancji.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7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pogwarancyjny po upływie okresu rękojmi i gwarancji polega na ocenie wykonanych robót związanych z usunięciem wad, które ujawnią się w okresie rękojmi i gwarancji.</w:t>
      </w:r>
    </w:p>
    <w:p w:rsidR="00373B6F" w:rsidRDefault="00373B6F" w:rsidP="00373B6F">
      <w:pPr>
        <w:pStyle w:val="Standard"/>
        <w:numPr>
          <w:ilvl w:val="0"/>
          <w:numId w:val="23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Odbiór po upływie okresu rękojmi i gwarancji pogwarancyjny będzie dokonany na podstawie oceny wizualnej obiektu z uwzględnieniem zasad opisanych w punkcie „Zasady odbioru ostatecznego robót".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numPr>
          <w:ilvl w:val="0"/>
          <w:numId w:val="48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Podstawa płatności.</w:t>
      </w:r>
    </w:p>
    <w:p w:rsidR="00373B6F" w:rsidRDefault="00373B6F" w:rsidP="00373B6F">
      <w:pPr>
        <w:pStyle w:val="Standard"/>
        <w:numPr>
          <w:ilvl w:val="0"/>
          <w:numId w:val="49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Podstawą do wystawienia faktury jest protokół ostatecznego wykonania robót bez wad i usterek oraz po uporządkowaniu terenu budowy.</w:t>
      </w:r>
    </w:p>
    <w:p w:rsidR="00373B6F" w:rsidRDefault="00373B6F" w:rsidP="00373B6F">
      <w:pPr>
        <w:pStyle w:val="Standard"/>
        <w:numPr>
          <w:ilvl w:val="0"/>
          <w:numId w:val="2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Podstawą płatności jest cena jednostkowa skalkulowana przez wykonawcę za jednostkę obmiarową, ustaloną dla danej pozycji kosztorysu przyjętą przez Zamawiającego w dokumentach umownych.</w:t>
      </w:r>
    </w:p>
    <w:p w:rsidR="00373B6F" w:rsidRDefault="00373B6F" w:rsidP="00373B6F">
      <w:pPr>
        <w:pStyle w:val="Standard"/>
        <w:numPr>
          <w:ilvl w:val="0"/>
          <w:numId w:val="2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Dla robót wycenionych ryczałtowo podstawą płatności jest wartość (kwota) podana przez Wykonawcę i przyjęta przez Zamawiającego w dokumentach umownych (ofercie).</w:t>
      </w:r>
    </w:p>
    <w:p w:rsidR="00373B6F" w:rsidRDefault="00373B6F" w:rsidP="00373B6F">
      <w:pPr>
        <w:pStyle w:val="Standard"/>
        <w:numPr>
          <w:ilvl w:val="0"/>
          <w:numId w:val="25"/>
        </w:numPr>
        <w:tabs>
          <w:tab w:val="left" w:pos="740"/>
        </w:tabs>
        <w:spacing w:after="0" w:line="360" w:lineRule="auto"/>
        <w:ind w:left="370" w:hanging="37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Wynagrodzenie ryczałtowe będzie uwzględniać wszystkie czynności, wymagania i badania składające się na jej wykonanie, określone dla tej roboty w ST i w dokumentacji projektowej.</w:t>
      </w:r>
    </w:p>
    <w:p w:rsidR="00373B6F" w:rsidRDefault="00373B6F" w:rsidP="00373B6F">
      <w:pPr>
        <w:pStyle w:val="Standard"/>
        <w:numPr>
          <w:ilvl w:val="0"/>
          <w:numId w:val="25"/>
        </w:numPr>
        <w:tabs>
          <w:tab w:val="left" w:pos="740"/>
        </w:tabs>
        <w:spacing w:after="0" w:line="360" w:lineRule="auto"/>
        <w:ind w:left="37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Ceny jednostkowe lub wynagrodzenie ryczałtowe robót będą obejmować:</w:t>
      </w:r>
    </w:p>
    <w:p w:rsidR="00373B6F" w:rsidRDefault="00373B6F" w:rsidP="00373B6F">
      <w:pPr>
        <w:pStyle w:val="Standard"/>
        <w:numPr>
          <w:ilvl w:val="1"/>
          <w:numId w:val="25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robociznę bezpośrednią wraz z narzutami,</w:t>
      </w:r>
    </w:p>
    <w:p w:rsidR="00373B6F" w:rsidRDefault="00373B6F" w:rsidP="00373B6F">
      <w:pPr>
        <w:pStyle w:val="Standard"/>
        <w:numPr>
          <w:ilvl w:val="1"/>
          <w:numId w:val="25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wartość zużytych materiałów wraz z kosztami zakupu, magazynowania</w:t>
      </w:r>
    </w:p>
    <w:p w:rsidR="00373B6F" w:rsidRDefault="00373B6F" w:rsidP="00373B6F">
      <w:pPr>
        <w:pStyle w:val="Standard"/>
        <w:numPr>
          <w:ilvl w:val="1"/>
          <w:numId w:val="25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wartość pracy sprzętu wraz z narzutami,</w:t>
      </w:r>
    </w:p>
    <w:p w:rsidR="00373B6F" w:rsidRDefault="00373B6F" w:rsidP="00373B6F">
      <w:pPr>
        <w:pStyle w:val="Standard"/>
        <w:numPr>
          <w:ilvl w:val="1"/>
          <w:numId w:val="25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koszty pośrednie i zysk kalkulacyjny,</w:t>
      </w:r>
    </w:p>
    <w:p w:rsidR="00373B6F" w:rsidRDefault="00373B6F" w:rsidP="00373B6F">
      <w:pPr>
        <w:pStyle w:val="Standard"/>
        <w:numPr>
          <w:ilvl w:val="1"/>
          <w:numId w:val="25"/>
        </w:numPr>
        <w:tabs>
          <w:tab w:val="left" w:pos="1460"/>
        </w:tabs>
        <w:spacing w:after="0" w:line="360" w:lineRule="auto"/>
        <w:ind w:left="730" w:hanging="370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podatki obliczone zgodnie z obowiązującymi przepisami, ale z wyłączeniem podatku VAT.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ind w:left="10"/>
        <w:rPr>
          <w:rFonts w:ascii="Verdana" w:eastAsia="Tahoma" w:hAnsi="Verdana" w:cs="Verdana"/>
          <w:b/>
        </w:rPr>
      </w:pPr>
      <w:r>
        <w:rPr>
          <w:rFonts w:ascii="Verdana" w:eastAsia="Tahoma" w:hAnsi="Verdana" w:cs="Verdana"/>
          <w:b/>
        </w:rPr>
        <w:t>10. Przepisy związane.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Wykonawca jest zobowiązany zrealizować przedmiot zamówienia spełniając przede wszystkim wymagania poniższych przepisów: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21 grudnia 2000 roku o dozorze technicznym (Dz. U. Nr 122 z 2000 roku, poz. 1321 z późniejszymi zmianami)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07 lipca 1994 roku Prawo budowlane (Dz. U. z 2003 r. Nr 207, poz.2016 z późniejszymi zmianami)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Gospodarki, pracy i Polityki Społecznej z dnia 29 października 2003 roku w sprawie warunków technicznych dozoru technicznego w zakresie eksploatacji niektórych urządzeń transportu bliskiego (Dz. U. Nr 193 z 2003 roku, poz. 1890)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Gospodarki z dnia 17 grudnia 2001 roku w sprawie wysokości opłat za czynności jednostek dozoru technicznego (Dz. U. Nr 153 z 2001 roku, poz. 1762, z późniejszymi zmianami)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03 lipca 2003 roku w sprawie szczegółowego zakresu i formy projektu budowlanego (Dz. U. Nr 120 z 2003 roku, poz. 1133 z późniejszymi zmianami)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12 kwietnia 2002 roku w sprawie warunków technicznych jakim powinny odpowiadać budynki i ich usytuowanie (Dz. U. Nr 75 z 2002 roku, poz. 690 z późniejszymi zmianami)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23 czerwca 2003 roku w sprawie informacji dotyczącej bezpieczeństwa i ochrony zdrowia oraz planu bezpieczeństwa i ochrony zdrowia (Dz.U. Nr 120 z 2003 roku, poz. 1126)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16 kwietnia 2004 roku o wyrobach budowlanych (Dz. U .Nr 92, poz.881)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24 sierpnia 1991 roku o ochronie przeciwpożarowej (Dz. U. z 2002 r. Nr 147, poz. 1229 ze zm.)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30 sierpnia 2002 roku o systemie oceny zgodności (Dz. U. Nr 166, poz. 1360, ze zm.)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12 września.2002 roku o normalizacji (Dz. U. Nr 169, poz.1386)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Pracy i Polityki Socjalnej z dnia 26 września 1997 roku w sprawie ogólnych przepisów bezpieczeństwa i higieny pracy (Dz. U. Z 2003 r. Nr 169, poz. 1650)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06 lutego 2003 roku w sprawie bezpieczeństwa i higieny pracy podczas wykonywania robót budowlanych (Dz. U. Nr 47, poz.401)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11 sierpnia 2004 roku w sprawie systemów oceny zgodności, wymagań, jakie powinny spełniać notyfikowane jednostki uczestniczące w ocenie zgodności, oraz sposobu oznaczania wyrobów budowlanych oznakowaniem CE (Dz. U. Nr 195, poz. 2011)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Spraw Wewnętrznych i Administracji z dnia 21 kwietnia 2006 roku w sprawie ochrony przeciw pożarowej budynków, innych obiektów budowlanych i terenów (Dz. U. Nr 80 poz. 563)</w:t>
      </w:r>
    </w:p>
    <w:p w:rsidR="00373B6F" w:rsidRDefault="00373B6F" w:rsidP="00373B6F">
      <w:pPr>
        <w:pStyle w:val="Standard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23 czerwca 2003 roku w sprawie informacji dotyczącej bezpieczeństwa i ochrony zdrowia oraz planu bezpieczeństwa i ochrony zdrowia (Dz. U. Nr 120, poz.1126)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11. Ustalenia końcowe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</w:p>
    <w:p w:rsidR="00373B6F" w:rsidRDefault="00373B6F" w:rsidP="00373B6F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hAnsi="Verdana" w:cs="Verdana"/>
        </w:rPr>
      </w:pPr>
      <w:r>
        <w:rPr>
          <w:rFonts w:ascii="Verdana" w:hAnsi="Verdana" w:cs="Verdana"/>
        </w:rPr>
        <w:t>Wytyczne inwestorskie i uwarunkowania związane z budową i montażem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 każdym czasie i na każde żądanie Zamawiającego Wykonawca zobowiązany jest okazać w stosunku do wskazanych materiałów i urządzeń oraz wymaganych przepisami dla tych materiałów i urządzeń, odpowiednie certyfikaty zgodności z Polską Normą, aprobaty techniczne, atesty, świadectwa jakości, instrukcje obsługi, itp.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Dokumentację w tym zakresie Wykonawca winien przechowywać na budowie i przekazać ją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Zamawiającemu w procedurze odbioru końcowego.</w:t>
      </w:r>
    </w:p>
    <w:p w:rsidR="00373B6F" w:rsidRDefault="00373B6F" w:rsidP="00373B6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Verdana" w:hAnsi="Verdana" w:cs="Verdana"/>
        </w:rPr>
      </w:pPr>
      <w:r>
        <w:rPr>
          <w:rFonts w:ascii="Verdana" w:hAnsi="Verdana" w:cs="Verdana"/>
        </w:rPr>
        <w:t>Zakres prac projektowych do wykonania w ramach zamówienia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 ramach realizacji przedmiotu zamówienia Wykonawca opracuje: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-projekt wykonawczy stanowiący podstawę wykonywania robót budowlanych oraz uzyskanie akceptacji UDT, rzeczoznawców jak i ewentualnych odstępstw od norm,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specyfikację techniczną wykonania i odbioru robót,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- instrukcję eksploatacyjną dla użytkownika.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Zamawiający wymaga przedłożenia do akceptacji rysunków wykonawczych i szczegółowych</w:t>
      </w:r>
    </w:p>
    <w:p w:rsidR="00373B6F" w:rsidRDefault="00373B6F" w:rsidP="00373B6F">
      <w:pPr>
        <w:pStyle w:val="Standard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specyfikacji technicznych wykonania i odbioru robót, przed ich skierowaniem do realizacji,</w:t>
      </w:r>
    </w:p>
    <w:p w:rsidR="00373B6F" w:rsidRDefault="00373B6F" w:rsidP="00373B6F">
      <w:pPr>
        <w:pStyle w:val="Standard"/>
        <w:spacing w:after="0" w:line="360" w:lineRule="auto"/>
        <w:ind w:left="10"/>
        <w:jc w:val="both"/>
        <w:rPr>
          <w:rFonts w:ascii="Verdana" w:eastAsia="Tahoma" w:hAnsi="Verdana" w:cs="Verdana"/>
        </w:rPr>
      </w:pPr>
      <w:r>
        <w:rPr>
          <w:rFonts w:ascii="Verdana" w:eastAsia="Tahoma" w:hAnsi="Verdana" w:cs="Verdana"/>
        </w:rPr>
        <w:t>w aspekcie ich zgodności z ustaleniami programu funkcjonalno-użytkowego i umowy.</w:t>
      </w:r>
    </w:p>
    <w:p w:rsidR="00373B6F" w:rsidRDefault="00373B6F" w:rsidP="00373B6F">
      <w:pPr>
        <w:pStyle w:val="Standard"/>
        <w:spacing w:after="0" w:line="360" w:lineRule="auto"/>
        <w:rPr>
          <w:rFonts w:ascii="Verdana" w:eastAsia="Times New Roman" w:hAnsi="Verdana" w:cs="Verdana"/>
        </w:rPr>
      </w:pPr>
    </w:p>
    <w:p w:rsidR="00373B6F" w:rsidRDefault="00373B6F" w:rsidP="00373B6F">
      <w:pPr>
        <w:pStyle w:val="Standard"/>
        <w:spacing w:after="0" w:line="360" w:lineRule="auto"/>
      </w:pPr>
    </w:p>
    <w:p w:rsidR="00373B6F" w:rsidRDefault="00373B6F" w:rsidP="00F9346E">
      <w:pPr>
        <w:spacing w:after="0" w:line="360" w:lineRule="auto"/>
      </w:pPr>
    </w:p>
    <w:sectPr w:rsidR="00373B6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CF" w:rsidRDefault="00035FCF" w:rsidP="007E3857">
      <w:pPr>
        <w:spacing w:after="0" w:line="240" w:lineRule="auto"/>
      </w:pPr>
      <w:r>
        <w:separator/>
      </w:r>
    </w:p>
  </w:endnote>
  <w:endnote w:type="continuationSeparator" w:id="0">
    <w:p w:rsidR="00035FCF" w:rsidRDefault="00035FC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CF" w:rsidRDefault="00035FCF" w:rsidP="007E3857">
      <w:pPr>
        <w:spacing w:after="0" w:line="240" w:lineRule="auto"/>
      </w:pPr>
      <w:r>
        <w:separator/>
      </w:r>
    </w:p>
  </w:footnote>
  <w:footnote w:type="continuationSeparator" w:id="0">
    <w:p w:rsidR="00035FCF" w:rsidRDefault="00035FC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5F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5F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35F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267"/>
    <w:multiLevelType w:val="multilevel"/>
    <w:tmpl w:val="6BCE4AA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080" w:hanging="360"/>
      </w:pPr>
      <w:rPr>
        <w:rFonts w:eastAsia="Tahoma" w:cs="Times New Roman"/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3DC4BE7"/>
    <w:multiLevelType w:val="multilevel"/>
    <w:tmpl w:val="53BCA5FA"/>
    <w:styleLink w:val="WWNum22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9B5C43"/>
    <w:multiLevelType w:val="multilevel"/>
    <w:tmpl w:val="A50686D0"/>
    <w:styleLink w:val="WWNum14"/>
    <w:lvl w:ilvl="0">
      <w:start w:val="3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7F63B0"/>
    <w:multiLevelType w:val="multilevel"/>
    <w:tmpl w:val="5F0A8B7A"/>
    <w:styleLink w:val="WWNum8"/>
    <w:lvl w:ilvl="0">
      <w:start w:val="3"/>
      <w:numFmt w:val="decimal"/>
      <w:lvlText w:val="%1."/>
      <w:lvlJc w:val="left"/>
      <w:rPr>
        <w:rFonts w:eastAsia="Tahoma" w:cs="Tahoma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B5505E"/>
    <w:multiLevelType w:val="multilevel"/>
    <w:tmpl w:val="F5D8E674"/>
    <w:styleLink w:val="WWNum2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D602F06"/>
    <w:multiLevelType w:val="multilevel"/>
    <w:tmpl w:val="869803CC"/>
    <w:styleLink w:val="WWNum13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F3FEA"/>
    <w:multiLevelType w:val="multilevel"/>
    <w:tmpl w:val="6A50DF34"/>
    <w:styleLink w:val="WWNum10"/>
    <w:lvl w:ilvl="0">
      <w:start w:val="4"/>
      <w:numFmt w:val="decimal"/>
      <w:lvlText w:val="%1."/>
      <w:lvlJc w:val="left"/>
      <w:rPr>
        <w:rFonts w:eastAsia="Tahoma" w:cs="Tahoma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EB334E"/>
    <w:multiLevelType w:val="multilevel"/>
    <w:tmpl w:val="E8B61B5A"/>
    <w:styleLink w:val="WWNum15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F414BD"/>
    <w:multiLevelType w:val="multilevel"/>
    <w:tmpl w:val="AD96E300"/>
    <w:styleLink w:val="WWNum24"/>
    <w:lvl w:ilvl="0">
      <w:start w:val="9"/>
      <w:numFmt w:val="decimal"/>
      <w:lvlText w:val="%1."/>
      <w:lvlJc w:val="left"/>
      <w:rPr>
        <w:rFonts w:eastAsia="Tahoma" w:cs="Tahoma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124FC0"/>
    <w:multiLevelType w:val="multilevel"/>
    <w:tmpl w:val="6BC04732"/>
    <w:styleLink w:val="WWNum11"/>
    <w:lvl w:ilvl="0">
      <w:start w:val="5"/>
      <w:numFmt w:val="decimal"/>
      <w:lvlText w:val="%1."/>
      <w:lvlJc w:val="left"/>
      <w:rPr>
        <w:rFonts w:eastAsia="Tahoma" w:cs="Tahoma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2E74F1"/>
    <w:multiLevelType w:val="multilevel"/>
    <w:tmpl w:val="45BCAE32"/>
    <w:styleLink w:val="WWNum9"/>
    <w:lvl w:ilvl="0">
      <w:start w:val="1"/>
      <w:numFmt w:val="decimal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713714"/>
    <w:multiLevelType w:val="multilevel"/>
    <w:tmpl w:val="7D324612"/>
    <w:styleLink w:val="WWNum5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8D6D63"/>
    <w:multiLevelType w:val="multilevel"/>
    <w:tmpl w:val="850A676C"/>
    <w:styleLink w:val="WWNum6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61C2E"/>
    <w:multiLevelType w:val="multilevel"/>
    <w:tmpl w:val="81D8BC9A"/>
    <w:styleLink w:val="WWNum17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8E6BC6"/>
    <w:multiLevelType w:val="multilevel"/>
    <w:tmpl w:val="CA967DFC"/>
    <w:styleLink w:val="WWNum1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5F3021"/>
    <w:multiLevelType w:val="multilevel"/>
    <w:tmpl w:val="26D06CF8"/>
    <w:styleLink w:val="WWNum19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CC73A01"/>
    <w:multiLevelType w:val="multilevel"/>
    <w:tmpl w:val="06F2B96C"/>
    <w:styleLink w:val="WWNum21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6F2CF7"/>
    <w:multiLevelType w:val="multilevel"/>
    <w:tmpl w:val="9716D480"/>
    <w:styleLink w:val="WWNum3"/>
    <w:lvl w:ilvl="0">
      <w:start w:val="1"/>
      <w:numFmt w:val="decimal"/>
      <w:lvlText w:val="%1."/>
      <w:lvlJc w:val="left"/>
      <w:rPr>
        <w:rFonts w:eastAsia="Tahoma" w:cs="Tahoma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2277"/>
    <w:multiLevelType w:val="multilevel"/>
    <w:tmpl w:val="B75CF8F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27E3"/>
    <w:multiLevelType w:val="multilevel"/>
    <w:tmpl w:val="EB98E2F6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Arial"/>
      </w:rPr>
    </w:lvl>
    <w:lvl w:ilvl="2">
      <w:numFmt w:val="bullet"/>
      <w:lvlText w:val="←"/>
      <w:lvlJc w:val="left"/>
      <w:rPr>
        <w:rFonts w:ascii="Times New Roman" w:hAnsi="Times New Roman" w:cs="Times New Roman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22" w15:restartNumberingAfterBreak="0">
    <w:nsid w:val="638F3068"/>
    <w:multiLevelType w:val="multilevel"/>
    <w:tmpl w:val="89E8F55E"/>
    <w:styleLink w:val="WWNum20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←"/>
      <w:lvlJc w:val="left"/>
      <w:rPr>
        <w:rFonts w:ascii="Times New Roman" w:hAnsi="Times New Roman" w:cs="Times New Roman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63D12292"/>
    <w:multiLevelType w:val="multilevel"/>
    <w:tmpl w:val="C16E31B4"/>
    <w:styleLink w:val="WWNum12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AFD3D15"/>
    <w:multiLevelType w:val="multilevel"/>
    <w:tmpl w:val="FC82B21C"/>
    <w:styleLink w:val="WWNum23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1046C5"/>
    <w:multiLevelType w:val="multilevel"/>
    <w:tmpl w:val="7F08C632"/>
    <w:styleLink w:val="WWNum25"/>
    <w:lvl w:ilvl="0">
      <w:start w:val="1"/>
      <w:numFmt w:val="lowerLetter"/>
      <w:lvlText w:val="%1)"/>
      <w:lvlJc w:val="left"/>
      <w:rPr>
        <w:rFonts w:eastAsia="Tahoma" w:cs="Tahoma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←"/>
      <w:lvlJc w:val="left"/>
      <w:rPr>
        <w:rFonts w:ascii="Times New Roman" w:hAnsi="Times New Roman" w:cs="Times New Roman"/>
      </w:rPr>
    </w:lvl>
    <w:lvl w:ilvl="3">
      <w:numFmt w:val="bullet"/>
      <w:lvlText w:val="←"/>
      <w:lvlJc w:val="left"/>
      <w:rPr>
        <w:rFonts w:ascii="Times New Roman" w:hAnsi="Times New Roman" w:cs="Times New Roman"/>
      </w:rPr>
    </w:lvl>
    <w:lvl w:ilvl="4">
      <w:numFmt w:val="bullet"/>
      <w:lvlText w:val="←"/>
      <w:lvlJc w:val="left"/>
      <w:rPr>
        <w:rFonts w:ascii="Times New Roman" w:hAnsi="Times New Roman" w:cs="Times New Roman"/>
      </w:rPr>
    </w:lvl>
    <w:lvl w:ilvl="5">
      <w:numFmt w:val="bullet"/>
      <w:lvlText w:val="←"/>
      <w:lvlJc w:val="left"/>
      <w:rPr>
        <w:rFonts w:ascii="Times New Roman" w:hAnsi="Times New Roman" w:cs="Times New Roman"/>
      </w:rPr>
    </w:lvl>
    <w:lvl w:ilvl="6">
      <w:numFmt w:val="bullet"/>
      <w:lvlText w:val="←"/>
      <w:lvlJc w:val="left"/>
      <w:rPr>
        <w:rFonts w:ascii="Times New Roman" w:hAnsi="Times New Roman" w:cs="Times New Roman"/>
      </w:rPr>
    </w:lvl>
    <w:lvl w:ilvl="7">
      <w:numFmt w:val="bullet"/>
      <w:lvlText w:val="←"/>
      <w:lvlJc w:val="left"/>
      <w:rPr>
        <w:rFonts w:ascii="Times New Roman" w:hAnsi="Times New Roman" w:cs="Times New Roman"/>
      </w:rPr>
    </w:lvl>
    <w:lvl w:ilvl="8">
      <w:numFmt w:val="bullet"/>
      <w:lvlText w:val="←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7CEC3527"/>
    <w:multiLevelType w:val="multilevel"/>
    <w:tmpl w:val="CFE4F4BA"/>
    <w:styleLink w:val="WWNum7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E2A569D"/>
    <w:multiLevelType w:val="multilevel"/>
    <w:tmpl w:val="01AC8868"/>
    <w:styleLink w:val="WWNum18"/>
    <w:lvl w:ilvl="0">
      <w:start w:val="8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1"/>
  </w:num>
  <w:num w:numId="5">
    <w:abstractNumId w:val="11"/>
  </w:num>
  <w:num w:numId="6">
    <w:abstractNumId w:val="12"/>
  </w:num>
  <w:num w:numId="7">
    <w:abstractNumId w:val="26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2"/>
  </w:num>
  <w:num w:numId="15">
    <w:abstractNumId w:val="7"/>
  </w:num>
  <w:num w:numId="16">
    <w:abstractNumId w:val="15"/>
  </w:num>
  <w:num w:numId="17">
    <w:abstractNumId w:val="14"/>
  </w:num>
  <w:num w:numId="18">
    <w:abstractNumId w:val="27"/>
  </w:num>
  <w:num w:numId="19">
    <w:abstractNumId w:val="16"/>
  </w:num>
  <w:num w:numId="20">
    <w:abstractNumId w:val="22"/>
  </w:num>
  <w:num w:numId="21">
    <w:abstractNumId w:val="17"/>
  </w:num>
  <w:num w:numId="22">
    <w:abstractNumId w:val="1"/>
  </w:num>
  <w:num w:numId="23">
    <w:abstractNumId w:val="24"/>
  </w:num>
  <w:num w:numId="24">
    <w:abstractNumId w:val="8"/>
  </w:num>
  <w:num w:numId="25">
    <w:abstractNumId w:val="25"/>
  </w:num>
  <w:num w:numId="26">
    <w:abstractNumId w:val="0"/>
  </w:num>
  <w:num w:numId="27">
    <w:abstractNumId w:val="4"/>
  </w:num>
  <w:num w:numId="28">
    <w:abstractNumId w:val="20"/>
  </w:num>
  <w:num w:numId="29">
    <w:abstractNumId w:val="18"/>
    <w:lvlOverride w:ilvl="0">
      <w:startOverride w:val="1"/>
    </w:lvlOverride>
  </w:num>
  <w:num w:numId="30">
    <w:abstractNumId w:val="11"/>
    <w:lvlOverride w:ilvl="0"/>
  </w:num>
  <w:num w:numId="31">
    <w:abstractNumId w:val="12"/>
    <w:lvlOverride w:ilvl="0"/>
  </w:num>
  <w:num w:numId="32">
    <w:abstractNumId w:val="26"/>
    <w:lvlOverride w:ilvl="0"/>
  </w:num>
  <w:num w:numId="33">
    <w:abstractNumId w:val="3"/>
    <w:lvlOverride w:ilvl="0">
      <w:startOverride w:val="3"/>
    </w:lvlOverride>
  </w:num>
  <w:num w:numId="34">
    <w:abstractNumId w:val="10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9"/>
    <w:lvlOverride w:ilvl="0">
      <w:startOverride w:val="5"/>
    </w:lvlOverride>
  </w:num>
  <w:num w:numId="37">
    <w:abstractNumId w:val="23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7"/>
    <w:lvlOverride w:ilvl="0">
      <w:startOverride w:val="1"/>
    </w:lvlOverride>
  </w:num>
  <w:num w:numId="41">
    <w:abstractNumId w:val="15"/>
    <w:lvlOverride w:ilvl="0">
      <w:startOverride w:val="7"/>
    </w:lvlOverride>
  </w:num>
  <w:num w:numId="42">
    <w:abstractNumId w:val="14"/>
    <w:lvlOverride w:ilvl="0">
      <w:startOverride w:val="1"/>
    </w:lvlOverride>
  </w:num>
  <w:num w:numId="43">
    <w:abstractNumId w:val="27"/>
    <w:lvlOverride w:ilvl="0">
      <w:startOverride w:val="8"/>
    </w:lvlOverride>
  </w:num>
  <w:num w:numId="44">
    <w:abstractNumId w:val="16"/>
    <w:lvlOverride w:ilvl="0">
      <w:startOverride w:val="1"/>
    </w:lvlOverride>
  </w:num>
  <w:num w:numId="45">
    <w:abstractNumId w:val="17"/>
    <w:lvlOverride w:ilvl="0"/>
  </w:num>
  <w:num w:numId="46">
    <w:abstractNumId w:val="1"/>
    <w:lvlOverride w:ilvl="0">
      <w:startOverride w:val="1"/>
    </w:lvlOverride>
  </w:num>
  <w:num w:numId="47">
    <w:abstractNumId w:val="24"/>
    <w:lvlOverride w:ilvl="0"/>
  </w:num>
  <w:num w:numId="48">
    <w:abstractNumId w:val="8"/>
    <w:lvlOverride w:ilvl="0">
      <w:startOverride w:val="9"/>
    </w:lvlOverride>
  </w:num>
  <w:num w:numId="49">
    <w:abstractNumId w:val="25"/>
    <w:lvlOverride w:ilvl="0">
      <w:startOverride w:val="1"/>
    </w:lvlOverride>
  </w:num>
  <w:num w:numId="5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35FCF"/>
    <w:rsid w:val="00170880"/>
    <w:rsid w:val="00361403"/>
    <w:rsid w:val="00373B6F"/>
    <w:rsid w:val="004E30BB"/>
    <w:rsid w:val="00525376"/>
    <w:rsid w:val="005C5A19"/>
    <w:rsid w:val="005D5764"/>
    <w:rsid w:val="00695C02"/>
    <w:rsid w:val="00791626"/>
    <w:rsid w:val="007C37A8"/>
    <w:rsid w:val="007D71D1"/>
    <w:rsid w:val="007E173E"/>
    <w:rsid w:val="007E3857"/>
    <w:rsid w:val="00880096"/>
    <w:rsid w:val="00A27910"/>
    <w:rsid w:val="00AB2754"/>
    <w:rsid w:val="00AE1887"/>
    <w:rsid w:val="00B46178"/>
    <w:rsid w:val="00B9396A"/>
    <w:rsid w:val="00C44C73"/>
    <w:rsid w:val="00C509B2"/>
    <w:rsid w:val="00D53E50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373B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numbering" w:customStyle="1" w:styleId="WWNum3">
    <w:name w:val="WWNum3"/>
    <w:basedOn w:val="Bezlisty"/>
    <w:rsid w:val="00373B6F"/>
    <w:pPr>
      <w:numPr>
        <w:numId w:val="3"/>
      </w:numPr>
    </w:pPr>
  </w:style>
  <w:style w:type="numbering" w:customStyle="1" w:styleId="WWNum4">
    <w:name w:val="WWNum4"/>
    <w:basedOn w:val="Bezlisty"/>
    <w:rsid w:val="00373B6F"/>
    <w:pPr>
      <w:numPr>
        <w:numId w:val="4"/>
      </w:numPr>
    </w:pPr>
  </w:style>
  <w:style w:type="numbering" w:customStyle="1" w:styleId="WWNum5">
    <w:name w:val="WWNum5"/>
    <w:basedOn w:val="Bezlisty"/>
    <w:rsid w:val="00373B6F"/>
    <w:pPr>
      <w:numPr>
        <w:numId w:val="5"/>
      </w:numPr>
    </w:pPr>
  </w:style>
  <w:style w:type="numbering" w:customStyle="1" w:styleId="WWNum6">
    <w:name w:val="WWNum6"/>
    <w:basedOn w:val="Bezlisty"/>
    <w:rsid w:val="00373B6F"/>
    <w:pPr>
      <w:numPr>
        <w:numId w:val="6"/>
      </w:numPr>
    </w:pPr>
  </w:style>
  <w:style w:type="numbering" w:customStyle="1" w:styleId="WWNum7">
    <w:name w:val="WWNum7"/>
    <w:basedOn w:val="Bezlisty"/>
    <w:rsid w:val="00373B6F"/>
    <w:pPr>
      <w:numPr>
        <w:numId w:val="7"/>
      </w:numPr>
    </w:pPr>
  </w:style>
  <w:style w:type="numbering" w:customStyle="1" w:styleId="WWNum8">
    <w:name w:val="WWNum8"/>
    <w:basedOn w:val="Bezlisty"/>
    <w:rsid w:val="00373B6F"/>
    <w:pPr>
      <w:numPr>
        <w:numId w:val="8"/>
      </w:numPr>
    </w:pPr>
  </w:style>
  <w:style w:type="numbering" w:customStyle="1" w:styleId="WWNum9">
    <w:name w:val="WWNum9"/>
    <w:basedOn w:val="Bezlisty"/>
    <w:rsid w:val="00373B6F"/>
    <w:pPr>
      <w:numPr>
        <w:numId w:val="9"/>
      </w:numPr>
    </w:pPr>
  </w:style>
  <w:style w:type="numbering" w:customStyle="1" w:styleId="WWNum10">
    <w:name w:val="WWNum10"/>
    <w:basedOn w:val="Bezlisty"/>
    <w:rsid w:val="00373B6F"/>
    <w:pPr>
      <w:numPr>
        <w:numId w:val="10"/>
      </w:numPr>
    </w:pPr>
  </w:style>
  <w:style w:type="numbering" w:customStyle="1" w:styleId="WWNum11">
    <w:name w:val="WWNum11"/>
    <w:basedOn w:val="Bezlisty"/>
    <w:rsid w:val="00373B6F"/>
    <w:pPr>
      <w:numPr>
        <w:numId w:val="11"/>
      </w:numPr>
    </w:pPr>
  </w:style>
  <w:style w:type="numbering" w:customStyle="1" w:styleId="WWNum12">
    <w:name w:val="WWNum12"/>
    <w:basedOn w:val="Bezlisty"/>
    <w:rsid w:val="00373B6F"/>
    <w:pPr>
      <w:numPr>
        <w:numId w:val="12"/>
      </w:numPr>
    </w:pPr>
  </w:style>
  <w:style w:type="numbering" w:customStyle="1" w:styleId="WWNum13">
    <w:name w:val="WWNum13"/>
    <w:basedOn w:val="Bezlisty"/>
    <w:rsid w:val="00373B6F"/>
    <w:pPr>
      <w:numPr>
        <w:numId w:val="13"/>
      </w:numPr>
    </w:pPr>
  </w:style>
  <w:style w:type="numbering" w:customStyle="1" w:styleId="WWNum14">
    <w:name w:val="WWNum14"/>
    <w:basedOn w:val="Bezlisty"/>
    <w:rsid w:val="00373B6F"/>
    <w:pPr>
      <w:numPr>
        <w:numId w:val="14"/>
      </w:numPr>
    </w:pPr>
  </w:style>
  <w:style w:type="numbering" w:customStyle="1" w:styleId="WWNum15">
    <w:name w:val="WWNum15"/>
    <w:basedOn w:val="Bezlisty"/>
    <w:rsid w:val="00373B6F"/>
    <w:pPr>
      <w:numPr>
        <w:numId w:val="15"/>
      </w:numPr>
    </w:pPr>
  </w:style>
  <w:style w:type="numbering" w:customStyle="1" w:styleId="WWNum16">
    <w:name w:val="WWNum16"/>
    <w:basedOn w:val="Bezlisty"/>
    <w:rsid w:val="00373B6F"/>
    <w:pPr>
      <w:numPr>
        <w:numId w:val="16"/>
      </w:numPr>
    </w:pPr>
  </w:style>
  <w:style w:type="numbering" w:customStyle="1" w:styleId="WWNum17">
    <w:name w:val="WWNum17"/>
    <w:basedOn w:val="Bezlisty"/>
    <w:rsid w:val="00373B6F"/>
    <w:pPr>
      <w:numPr>
        <w:numId w:val="17"/>
      </w:numPr>
    </w:pPr>
  </w:style>
  <w:style w:type="numbering" w:customStyle="1" w:styleId="WWNum18">
    <w:name w:val="WWNum18"/>
    <w:basedOn w:val="Bezlisty"/>
    <w:rsid w:val="00373B6F"/>
    <w:pPr>
      <w:numPr>
        <w:numId w:val="18"/>
      </w:numPr>
    </w:pPr>
  </w:style>
  <w:style w:type="numbering" w:customStyle="1" w:styleId="WWNum19">
    <w:name w:val="WWNum19"/>
    <w:basedOn w:val="Bezlisty"/>
    <w:rsid w:val="00373B6F"/>
    <w:pPr>
      <w:numPr>
        <w:numId w:val="19"/>
      </w:numPr>
    </w:pPr>
  </w:style>
  <w:style w:type="numbering" w:customStyle="1" w:styleId="WWNum20">
    <w:name w:val="WWNum20"/>
    <w:basedOn w:val="Bezlisty"/>
    <w:rsid w:val="00373B6F"/>
    <w:pPr>
      <w:numPr>
        <w:numId w:val="20"/>
      </w:numPr>
    </w:pPr>
  </w:style>
  <w:style w:type="numbering" w:customStyle="1" w:styleId="WWNum21">
    <w:name w:val="WWNum21"/>
    <w:basedOn w:val="Bezlisty"/>
    <w:rsid w:val="00373B6F"/>
    <w:pPr>
      <w:numPr>
        <w:numId w:val="21"/>
      </w:numPr>
    </w:pPr>
  </w:style>
  <w:style w:type="numbering" w:customStyle="1" w:styleId="WWNum22">
    <w:name w:val="WWNum22"/>
    <w:basedOn w:val="Bezlisty"/>
    <w:rsid w:val="00373B6F"/>
    <w:pPr>
      <w:numPr>
        <w:numId w:val="22"/>
      </w:numPr>
    </w:pPr>
  </w:style>
  <w:style w:type="numbering" w:customStyle="1" w:styleId="WWNum23">
    <w:name w:val="WWNum23"/>
    <w:basedOn w:val="Bezlisty"/>
    <w:rsid w:val="00373B6F"/>
    <w:pPr>
      <w:numPr>
        <w:numId w:val="23"/>
      </w:numPr>
    </w:pPr>
  </w:style>
  <w:style w:type="numbering" w:customStyle="1" w:styleId="WWNum24">
    <w:name w:val="WWNum24"/>
    <w:basedOn w:val="Bezlisty"/>
    <w:rsid w:val="00373B6F"/>
    <w:pPr>
      <w:numPr>
        <w:numId w:val="24"/>
      </w:numPr>
    </w:pPr>
  </w:style>
  <w:style w:type="numbering" w:customStyle="1" w:styleId="WWNum25">
    <w:name w:val="WWNum25"/>
    <w:basedOn w:val="Bezlisty"/>
    <w:rsid w:val="00373B6F"/>
    <w:pPr>
      <w:numPr>
        <w:numId w:val="25"/>
      </w:numPr>
    </w:pPr>
  </w:style>
  <w:style w:type="numbering" w:customStyle="1" w:styleId="WWNum26">
    <w:name w:val="WWNum26"/>
    <w:basedOn w:val="Bezlisty"/>
    <w:rsid w:val="00373B6F"/>
    <w:pPr>
      <w:numPr>
        <w:numId w:val="26"/>
      </w:numPr>
    </w:pPr>
  </w:style>
  <w:style w:type="numbering" w:customStyle="1" w:styleId="WWNum27">
    <w:name w:val="WWNum27"/>
    <w:basedOn w:val="Bezlisty"/>
    <w:rsid w:val="00373B6F"/>
    <w:pPr>
      <w:numPr>
        <w:numId w:val="27"/>
      </w:numPr>
    </w:pPr>
  </w:style>
  <w:style w:type="numbering" w:customStyle="1" w:styleId="WWNum29">
    <w:name w:val="WWNum29"/>
    <w:basedOn w:val="Bezlisty"/>
    <w:rsid w:val="00373B6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3488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2019-03-27T08:29:00Z</cp:lastPrinted>
  <dcterms:created xsi:type="dcterms:W3CDTF">2019-05-10T09:00:00Z</dcterms:created>
  <dcterms:modified xsi:type="dcterms:W3CDTF">2019-05-10T09:01:00Z</dcterms:modified>
</cp:coreProperties>
</file>