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Default="006A1B60" w:rsidP="003C249B">
            <w:pPr>
              <w:spacing w:line="360" w:lineRule="auto"/>
              <w:jc w:val="both"/>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Pr>
                <w:rFonts w:ascii="Verdana" w:eastAsia="Tahoma" w:hAnsi="Verdana" w:cs="Verdana"/>
                <w:sz w:val="16"/>
                <w:szCs w:val="16"/>
              </w:rPr>
              <w:t xml:space="preserve"> DZP/PN/6/2018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CF3E19">
            <w:pPr>
              <w:snapToGrid w:val="0"/>
              <w:spacing w:line="360" w:lineRule="auto"/>
              <w:jc w:val="right"/>
            </w:pPr>
            <w:r>
              <w:rPr>
                <w:rFonts w:ascii="Verdana" w:hAnsi="Verdana" w:cs="Verdana"/>
                <w:sz w:val="16"/>
                <w:szCs w:val="16"/>
              </w:rPr>
              <w:t xml:space="preserve">Zawiercie, </w:t>
            </w:r>
            <w:r w:rsidR="00CF3E19">
              <w:rPr>
                <w:rFonts w:ascii="Verdana" w:hAnsi="Verdana" w:cs="Verdana"/>
                <w:sz w:val="16"/>
                <w:szCs w:val="16"/>
              </w:rPr>
              <w:t>26.</w:t>
            </w:r>
            <w:r>
              <w:rPr>
                <w:rFonts w:ascii="Verdana" w:hAnsi="Verdana" w:cs="Verdana"/>
                <w:sz w:val="16"/>
                <w:szCs w:val="16"/>
              </w:rPr>
              <w:t>01.2018r.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sprzętu medycznego – </w:t>
      </w:r>
      <w:r w:rsidR="006A1B60">
        <w:rPr>
          <w:rFonts w:ascii="Verdana" w:eastAsia="Times New Roman" w:hAnsi="Verdana" w:cs="Times New Roman"/>
          <w:b/>
          <w:bCs/>
          <w:caps/>
          <w:color w:val="000000"/>
          <w:sz w:val="16"/>
          <w:szCs w:val="16"/>
          <w:lang w:eastAsia="pl-PL"/>
        </w:rPr>
        <w:t>2 PAKIETY</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sprzętu medycznego – </w:t>
      </w:r>
      <w:r w:rsidR="006A1B60">
        <w:rPr>
          <w:rFonts w:ascii="Verdana" w:eastAsia="Times New Roman" w:hAnsi="Verdana"/>
          <w:color w:val="000000"/>
          <w:sz w:val="16"/>
          <w:szCs w:val="16"/>
          <w:lang w:eastAsia="pl-PL"/>
        </w:rPr>
        <w:t>2 pakiety</w:t>
      </w:r>
      <w:r w:rsidR="00882479" w:rsidRPr="0007404D">
        <w:rPr>
          <w:rFonts w:ascii="Verdana" w:eastAsia="Times New Roman" w:hAnsi="Verdana"/>
          <w:color w:val="000000"/>
          <w:sz w:val="16"/>
          <w:szCs w:val="16"/>
          <w:lang w:eastAsia="pl-PL"/>
        </w:rPr>
        <w:t xml:space="preserve"> – zgodnie z zapisami zawartymi </w:t>
      </w:r>
      <w:r w:rsidR="006A1B60">
        <w:rPr>
          <w:rFonts w:ascii="Verdana" w:eastAsia="Times New Roman" w:hAnsi="Verdana"/>
          <w:color w:val="000000"/>
          <w:sz w:val="16"/>
          <w:szCs w:val="16"/>
          <w:lang w:eastAsia="pl-PL"/>
        </w:rPr>
        <w:t xml:space="preserve">               </w:t>
      </w:r>
      <w:r w:rsidR="00882479" w:rsidRPr="0007404D">
        <w:rPr>
          <w:rFonts w:ascii="Verdana" w:eastAsia="Times New Roman" w:hAnsi="Verdana"/>
          <w:color w:val="000000"/>
          <w:sz w:val="16"/>
          <w:szCs w:val="16"/>
          <w:lang w:eastAsia="pl-PL"/>
        </w:rPr>
        <w:t>w formularzu cenowym sta</w:t>
      </w:r>
      <w:r w:rsidRPr="0007404D">
        <w:rPr>
          <w:rFonts w:ascii="Verdana" w:eastAsia="Times New Roman" w:hAnsi="Verdana"/>
          <w:color w:val="000000"/>
          <w:sz w:val="16"/>
          <w:szCs w:val="16"/>
          <w:lang w:eastAsia="pl-PL"/>
        </w:rPr>
        <w:t>nowiącym załącznik nr 2 do SIWZ:</w:t>
      </w:r>
    </w:p>
    <w:p w:rsidR="0007404D" w:rsidRDefault="0007404D" w:rsidP="00710090">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1 </w:t>
      </w:r>
      <w:r w:rsidR="00892072">
        <w:rPr>
          <w:rFonts w:ascii="Verdana" w:eastAsia="Times New Roman" w:hAnsi="Verdana"/>
          <w:color w:val="000000"/>
          <w:sz w:val="16"/>
          <w:szCs w:val="16"/>
          <w:lang w:eastAsia="pl-PL"/>
        </w:rPr>
        <w:t>–</w:t>
      </w:r>
      <w:r w:rsidR="006A1B60">
        <w:rPr>
          <w:rFonts w:ascii="Verdana" w:eastAsia="Times New Roman" w:hAnsi="Verdana"/>
          <w:color w:val="000000"/>
          <w:sz w:val="16"/>
          <w:szCs w:val="16"/>
          <w:lang w:eastAsia="pl-PL"/>
        </w:rPr>
        <w:t xml:space="preserve"> wózki </w:t>
      </w:r>
      <w:r w:rsidR="000F5B07">
        <w:rPr>
          <w:rFonts w:ascii="Verdana" w:eastAsia="Times New Roman" w:hAnsi="Verdana"/>
          <w:color w:val="000000"/>
          <w:sz w:val="16"/>
          <w:szCs w:val="16"/>
          <w:lang w:eastAsia="pl-PL"/>
        </w:rPr>
        <w:t>inwalidzkie</w:t>
      </w:r>
      <w:r>
        <w:rPr>
          <w:rFonts w:ascii="Verdana" w:eastAsia="Times New Roman" w:hAnsi="Verdana"/>
          <w:color w:val="000000"/>
          <w:sz w:val="16"/>
          <w:szCs w:val="16"/>
          <w:lang w:eastAsia="pl-PL"/>
        </w:rPr>
        <w:t>,</w:t>
      </w:r>
    </w:p>
    <w:p w:rsidR="0007404D" w:rsidRDefault="0007404D" w:rsidP="00710090">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2 </w:t>
      </w:r>
      <w:r w:rsidR="00892072">
        <w:rPr>
          <w:rFonts w:ascii="Verdana" w:eastAsia="Times New Roman" w:hAnsi="Verdana"/>
          <w:color w:val="000000"/>
          <w:sz w:val="16"/>
          <w:szCs w:val="16"/>
          <w:lang w:eastAsia="pl-PL"/>
        </w:rPr>
        <w:t>–</w:t>
      </w:r>
      <w:r w:rsidR="006A1B60">
        <w:rPr>
          <w:rFonts w:ascii="Verdana" w:eastAsia="Times New Roman" w:hAnsi="Verdana"/>
          <w:color w:val="000000"/>
          <w:sz w:val="16"/>
          <w:szCs w:val="16"/>
          <w:lang w:eastAsia="pl-PL"/>
        </w:rPr>
        <w:t xml:space="preserve"> wózki</w:t>
      </w:r>
      <w:r w:rsidR="000F5B07">
        <w:rPr>
          <w:rFonts w:ascii="Verdana" w:eastAsia="Times New Roman" w:hAnsi="Verdana"/>
          <w:color w:val="000000"/>
          <w:sz w:val="16"/>
          <w:szCs w:val="16"/>
          <w:lang w:eastAsia="pl-PL"/>
        </w:rPr>
        <w:t xml:space="preserve"> do transportu chorych w pozycji leżącej</w:t>
      </w:r>
    </w:p>
    <w:p w:rsidR="00D53C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53C4D" w:rsidRPr="00D53C4D" w:rsidRDefault="00435ED6" w:rsidP="00CD0B09">
      <w:pPr>
        <w:spacing w:after="0" w:line="240" w:lineRule="auto"/>
        <w:jc w:val="both"/>
        <w:rPr>
          <w:rFonts w:ascii="Verdana" w:eastAsia="Times New Roman" w:hAnsi="Verdana"/>
          <w:color w:val="000000"/>
          <w:sz w:val="16"/>
          <w:szCs w:val="16"/>
          <w:lang w:eastAsia="pl-PL"/>
        </w:rPr>
      </w:pPr>
      <w:r w:rsidRPr="00D53C4D">
        <w:rPr>
          <w:rFonts w:ascii="Verdana" w:eastAsia="Times New Roman" w:hAnsi="Verdana"/>
          <w:color w:val="000000"/>
          <w:sz w:val="16"/>
          <w:szCs w:val="16"/>
          <w:lang w:eastAsia="pl-PL"/>
        </w:rPr>
        <w:t>3</w:t>
      </w:r>
      <w:r w:rsidR="00D53C4D" w:rsidRPr="00D53C4D">
        <w:rPr>
          <w:rFonts w:ascii="Verdana" w:eastAsia="Times New Roman" w:hAnsi="Verdana"/>
          <w:color w:val="000000"/>
          <w:sz w:val="16"/>
          <w:szCs w:val="16"/>
          <w:lang w:eastAsia="pl-PL"/>
        </w:rPr>
        <w:t>3100000-1 - urządzenia medyczne,</w:t>
      </w:r>
      <w:r w:rsidR="00882479" w:rsidRPr="00D53C4D">
        <w:rPr>
          <w:rFonts w:ascii="Verdana" w:eastAsia="Times New Roman" w:hAnsi="Verdana"/>
          <w:color w:val="000000"/>
          <w:sz w:val="16"/>
          <w:szCs w:val="16"/>
          <w:lang w:eastAsia="pl-PL"/>
        </w:rPr>
        <w:tab/>
      </w:r>
    </w:p>
    <w:p w:rsidR="00D53C4D" w:rsidRPr="00D53C4D" w:rsidRDefault="00D53C4D" w:rsidP="00CD0B09">
      <w:pPr>
        <w:spacing w:after="0" w:line="240" w:lineRule="auto"/>
        <w:jc w:val="both"/>
        <w:rPr>
          <w:rFonts w:ascii="Verdana" w:hAnsi="Verdana"/>
          <w:sz w:val="16"/>
          <w:szCs w:val="16"/>
        </w:rPr>
      </w:pPr>
      <w:r w:rsidRPr="00D53C4D">
        <w:rPr>
          <w:rFonts w:ascii="Verdana" w:hAnsi="Verdana"/>
          <w:sz w:val="16"/>
          <w:szCs w:val="16"/>
        </w:rPr>
        <w:t>33193120-6 – wózki inwalidzkie</w:t>
      </w:r>
      <w:r>
        <w:rPr>
          <w:rFonts w:ascii="Verdana" w:hAnsi="Verdana"/>
          <w:sz w:val="16"/>
          <w:szCs w:val="16"/>
        </w:rPr>
        <w:t>,</w:t>
      </w:r>
    </w:p>
    <w:p w:rsidR="00E10351" w:rsidRPr="00D53C4D" w:rsidRDefault="00D53C4D" w:rsidP="00CD0B09">
      <w:pPr>
        <w:spacing w:after="0" w:line="240" w:lineRule="auto"/>
        <w:jc w:val="both"/>
        <w:rPr>
          <w:rFonts w:ascii="Verdana" w:eastAsia="Times New Roman" w:hAnsi="Verdana"/>
          <w:color w:val="000000"/>
          <w:sz w:val="16"/>
          <w:szCs w:val="16"/>
          <w:lang w:eastAsia="pl-PL"/>
        </w:rPr>
      </w:pPr>
      <w:bookmarkStart w:id="1" w:name="_GoBack"/>
      <w:r w:rsidRPr="00D53C4D">
        <w:rPr>
          <w:rFonts w:ascii="Verdana" w:hAnsi="Verdana"/>
          <w:sz w:val="16"/>
          <w:szCs w:val="16"/>
        </w:rPr>
        <w:t xml:space="preserve">33193000-9 </w:t>
      </w:r>
      <w:bookmarkEnd w:id="1"/>
      <w:r w:rsidRPr="00D53C4D">
        <w:rPr>
          <w:rFonts w:ascii="Verdana" w:hAnsi="Verdana"/>
          <w:sz w:val="16"/>
          <w:szCs w:val="16"/>
        </w:rPr>
        <w:t xml:space="preserve">- </w:t>
      </w:r>
      <w:r w:rsidRPr="00D53C4D">
        <w:rPr>
          <w:rFonts w:ascii="Verdana" w:eastAsia="Times New Roman" w:hAnsi="Verdana"/>
          <w:color w:val="000000"/>
          <w:sz w:val="16"/>
          <w:szCs w:val="16"/>
          <w:lang w:eastAsia="pl-PL"/>
        </w:rPr>
        <w:t>wózki do transportu chorych w pozycji leżącej</w:t>
      </w:r>
      <w:r>
        <w:rPr>
          <w:rFonts w:ascii="Verdana" w:eastAsia="Times New Roman" w:hAnsi="Verdana"/>
          <w:color w:val="000000"/>
          <w:sz w:val="16"/>
          <w:szCs w:val="16"/>
          <w:lang w:eastAsia="pl-PL"/>
        </w:rPr>
        <w:t>.</w:t>
      </w:r>
      <w:r w:rsidR="00882479" w:rsidRPr="00D53C4D">
        <w:rPr>
          <w:rFonts w:ascii="Verdana" w:eastAsia="Times New Roman" w:hAnsi="Verdana"/>
          <w:color w:val="000000"/>
          <w:sz w:val="16"/>
          <w:szCs w:val="16"/>
          <w:lang w:eastAsia="pl-PL"/>
        </w:rPr>
        <w:tab/>
        <w:t xml:space="preserve">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 Oświadczenia Wykonawcy, że zaoferowany sprzęt spełnia wymagania określone w Ustawie z dnia 20 maja 2010 r. o wyrobach medycznych (Dz. U. z 201</w:t>
      </w:r>
      <w:r w:rsidR="004A6348">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4A6348">
        <w:rPr>
          <w:rFonts w:ascii="Verdana" w:eastAsia="Times New Roman" w:hAnsi="Verdana"/>
          <w:color w:val="000000"/>
          <w:sz w:val="16"/>
          <w:szCs w:val="16"/>
          <w:lang w:eastAsia="pl-PL"/>
        </w:rPr>
        <w:t>211</w:t>
      </w:r>
      <w:r>
        <w:rPr>
          <w:rFonts w:ascii="Verdana" w:eastAsia="Times New Roman" w:hAnsi="Verdana"/>
          <w:color w:val="000000"/>
          <w:sz w:val="16"/>
          <w:szCs w:val="16"/>
          <w:lang w:eastAsia="pl-PL"/>
        </w:rPr>
        <w:t>) a ponadto, że Wykonawca jest gotowy w każdej chwili na żądanie Zamawiającego potwierdzić to poprzez przesłanie kopii odpowiedniej dokumentacji (o ile dotyczy) lub oświadczenie, że oferowany produkt nie jest wyrobem medycznym,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Oświadczenia Wykonawcy, że zaoferowany sprzęt posiada kartę produktu (ulotkę, kartę techniczną) potwierdzającą wymogi określone przez Zamawiającego </w:t>
      </w:r>
      <w:r w:rsidR="00106A5A">
        <w:rPr>
          <w:rFonts w:ascii="Verdana" w:eastAsia="Times New Roman" w:hAnsi="Verdana"/>
          <w:color w:val="000000"/>
          <w:sz w:val="16"/>
          <w:szCs w:val="16"/>
          <w:lang w:eastAsia="pl-PL"/>
        </w:rPr>
        <w:t xml:space="preserve">z zaznaczeniem wymaganych parametrów </w:t>
      </w:r>
      <w:r>
        <w:rPr>
          <w:rFonts w:ascii="Verdana" w:eastAsia="Times New Roman" w:hAnsi="Verdana"/>
          <w:color w:val="000000"/>
          <w:sz w:val="16"/>
          <w:szCs w:val="16"/>
          <w:lang w:eastAsia="pl-PL"/>
        </w:rPr>
        <w:t>a ponadto, że Wykonawca jest gotowy w każdej chwili na żądanie Zamawiającego potwierdzić to poprzez przesłanie kopii odpowiedniej dokumentacji,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formularzu </w:t>
      </w:r>
      <w:r w:rsidR="00DC7799">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 xml:space="preserve">cenowym stanowiącym </w:t>
      </w:r>
      <w:r>
        <w:rPr>
          <w:rFonts w:ascii="Verdana" w:eastAsia="Times New Roman" w:hAnsi="Verdana"/>
          <w:b/>
          <w:color w:val="000000"/>
          <w:sz w:val="16"/>
          <w:szCs w:val="16"/>
          <w:lang w:eastAsia="pl-PL"/>
        </w:rPr>
        <w:t>załącznik nr 2 do SIWZ.</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nie przewiduje udzielenia zamówienia, o którym mowa w </w:t>
      </w:r>
      <w:r w:rsidR="00AC3CA2">
        <w:rPr>
          <w:rFonts w:ascii="Verdana" w:eastAsia="Times New Roman" w:hAnsi="Verdana"/>
          <w:color w:val="000000"/>
          <w:sz w:val="16"/>
          <w:szCs w:val="16"/>
          <w:lang w:eastAsia="pl-PL"/>
        </w:rPr>
        <w:t xml:space="preserve">art. 67 ust. 1 pkt 7 ustawy </w:t>
      </w:r>
      <w:proofErr w:type="spellStart"/>
      <w:r w:rsidR="00AC3CA2">
        <w:rPr>
          <w:rFonts w:ascii="Verdana" w:eastAsia="Times New Roman" w:hAnsi="Verdana"/>
          <w:color w:val="000000"/>
          <w:sz w:val="16"/>
          <w:szCs w:val="16"/>
          <w:lang w:eastAsia="pl-PL"/>
        </w:rPr>
        <w:t>Pzp</w:t>
      </w:r>
      <w:proofErr w:type="spellEnd"/>
      <w:r w:rsidR="00AC3CA2">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hAnsi="Verdana"/>
          <w:sz w:val="16"/>
          <w:szCs w:val="16"/>
        </w:rPr>
      </w:pPr>
      <w:bookmarkStart w:id="2" w:name="__RefHeading__53_1278912072"/>
      <w:bookmarkEnd w:id="2"/>
      <w:r>
        <w:rPr>
          <w:rFonts w:ascii="Verdana" w:eastAsia="Times New Roman" w:hAnsi="Verdana"/>
          <w:color w:val="000000"/>
          <w:sz w:val="16"/>
          <w:szCs w:val="16"/>
          <w:lang w:eastAsia="pl-PL"/>
        </w:rPr>
        <w:t xml:space="preserve">1. Zamówienie zostanie zrealizowane w terminie </w:t>
      </w:r>
      <w:r w:rsidR="008B3266">
        <w:rPr>
          <w:rFonts w:ascii="Verdana" w:eastAsia="Times New Roman" w:hAnsi="Verdana"/>
          <w:color w:val="000000"/>
          <w:sz w:val="16"/>
          <w:szCs w:val="16"/>
          <w:lang w:eastAsia="pl-PL"/>
        </w:rPr>
        <w:t xml:space="preserve">do 14 </w:t>
      </w:r>
      <w:r w:rsidR="00114A3C">
        <w:rPr>
          <w:rFonts w:ascii="Verdana" w:eastAsia="Times New Roman" w:hAnsi="Verdana"/>
          <w:color w:val="000000"/>
          <w:sz w:val="16"/>
          <w:szCs w:val="16"/>
          <w:lang w:eastAsia="pl-PL"/>
        </w:rPr>
        <w:t>dni od dnia zawarcia umowy.</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sytuacji, gdy Wykonawca polega na zdolnościach technicznych lub zawodowych lub sytuacji finansowej</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zobowiązany jest udowodnić, iż będzie dysponował zasobami niezbędnymi do realizacji zamówienia, w szczególności </w:t>
      </w:r>
      <w:r>
        <w:rPr>
          <w:rFonts w:ascii="Verdana" w:eastAsia="Times New Roman" w:hAnsi="Verdana"/>
          <w:color w:val="000000"/>
          <w:sz w:val="16"/>
          <w:szCs w:val="16"/>
          <w:lang w:eastAsia="pl-PL"/>
        </w:rPr>
        <w:lastRenderedPageBreak/>
        <w:t xml:space="preserve">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xml:space="preserve">., Zamawiający przewiduje wykluczenie Wykonawcy, który naruszył obowiązki dotyczące płatności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wraz z odsetkami lub grzywnami lub zawarł wiążące porozumienie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 </w:t>
      </w:r>
      <w:r w:rsidR="00882479">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sidR="00882479">
        <w:rPr>
          <w:rFonts w:ascii="Verdana" w:eastAsia="Times New Roman" w:hAnsi="Verdana"/>
          <w:color w:val="000000"/>
          <w:sz w:val="16"/>
          <w:szCs w:val="16"/>
          <w:lang w:eastAsia="pl-PL"/>
        </w:rPr>
        <w:t>;</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sidR="00882479">
        <w:rPr>
          <w:rFonts w:ascii="Verdana" w:eastAsia="Times New Roman" w:hAnsi="Verdana"/>
          <w:color w:val="000000"/>
          <w:sz w:val="16"/>
          <w:szCs w:val="16"/>
          <w:lang w:eastAsia="pl-PL"/>
        </w:rPr>
        <w:t>;</w:t>
      </w:r>
    </w:p>
    <w:p w:rsidR="00E10351"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 xml:space="preserve">W zakresie opisu przedmiotu zamówienia: </w:t>
      </w:r>
    </w:p>
    <w:p w:rsidR="00E10351" w:rsidRDefault="00882479">
      <w:pPr>
        <w:spacing w:after="0" w:line="240" w:lineRule="auto"/>
        <w:jc w:val="both"/>
        <w:rPr>
          <w:rFonts w:ascii="Verdana" w:hAnsi="Verdana"/>
          <w:b/>
          <w:bCs/>
          <w:sz w:val="16"/>
          <w:szCs w:val="16"/>
        </w:rPr>
      </w:pPr>
      <w:r>
        <w:rPr>
          <w:rFonts w:ascii="Verdana" w:eastAsia="Times New Roman" w:hAnsi="Verdana"/>
          <w:color w:val="000000"/>
          <w:sz w:val="16"/>
          <w:szCs w:val="16"/>
          <w:lang w:eastAsia="pl-PL"/>
        </w:rPr>
        <w:t>Kartę produktu (ulotkę, kartę techniczna) potwierdzającą wymogi określone przez Zamawiającego</w:t>
      </w:r>
      <w:r w:rsidRPr="00832D25">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sidRPr="00832D25">
        <w:rPr>
          <w:rFonts w:ascii="Verdana" w:eastAsia="Times New Roman" w:hAnsi="Verdana"/>
          <w:color w:val="000000"/>
          <w:sz w:val="16"/>
          <w:szCs w:val="16"/>
          <w:lang w:eastAsia="pl-PL"/>
        </w:rPr>
        <w:t>z zaznaczeniem wymaganych parametrów.</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a)zamiast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 miejscu zamieszkania tych osób nie wydaje się takich zaświadczeń – zastępuje się je dokumentem zawierającym oświadczenie złożone przed notariuszem, właściwym organem sądowym, administracyjnym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Pr="00634D63"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VIII. Informacje o sposobie porozumiewania się Zamawiającego z Wykonawcami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oraz przekazywania oświadczeń lub dokumentów, a także wskazanie osób uprawnionych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 xml:space="preserve">7. Jeżeli wniosek o wyjaśnienie treści SIWZ wpłynie do Zamawiającego nie później niż do końca dnia, </w:t>
      </w:r>
      <w:r w:rsidR="00591020">
        <w:rPr>
          <w:rFonts w:ascii="Verdana" w:hAnsi="Verdana" w:cs="Verdana"/>
          <w:sz w:val="16"/>
        </w:rPr>
        <w:t xml:space="preserve">                    </w:t>
      </w:r>
      <w:r>
        <w:rPr>
          <w:rFonts w:ascii="Verdana" w:hAnsi="Verdana" w:cs="Verdana"/>
          <w:sz w:val="16"/>
        </w:rPr>
        <w:t>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634D63" w:rsidRPr="00634D63">
        <w:rPr>
          <w:rFonts w:ascii="Verdana" w:hAnsi="Verdana"/>
          <w:b/>
          <w:sz w:val="16"/>
          <w:szCs w:val="16"/>
        </w:rPr>
        <w:t>08.02.2018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D74ED1" w:rsidRDefault="00435EDF" w:rsidP="005F0163">
      <w:pPr>
        <w:spacing w:after="0" w:line="240" w:lineRule="auto"/>
        <w:jc w:val="both"/>
        <w:rPr>
          <w:rFonts w:ascii="Verdana" w:hAnsi="Verdana"/>
          <w:sz w:val="16"/>
          <w:szCs w:val="16"/>
        </w:rPr>
      </w:pPr>
      <w:r>
        <w:rPr>
          <w:rFonts w:ascii="Verdana" w:hAnsi="Verdana"/>
          <w:sz w:val="16"/>
          <w:szCs w:val="16"/>
        </w:rPr>
        <w:t>Paulina Maciążek</w:t>
      </w:r>
      <w:r w:rsidR="00710090" w:rsidRPr="00D74ED1">
        <w:rPr>
          <w:rFonts w:ascii="Verdana" w:hAnsi="Verdana"/>
          <w:sz w:val="16"/>
          <w:szCs w:val="16"/>
        </w:rPr>
        <w:t xml:space="preserve"> – Dział Zamówień Publicznych, tel. 32 67 40 361, e-mail: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710090" w:rsidRPr="00D74ED1" w:rsidRDefault="0089474C" w:rsidP="005F0163">
      <w:pPr>
        <w:spacing w:after="0" w:line="240" w:lineRule="auto"/>
        <w:jc w:val="both"/>
        <w:rPr>
          <w:rFonts w:ascii="Verdana" w:hAnsi="Verdana"/>
          <w:sz w:val="16"/>
          <w:szCs w:val="16"/>
        </w:rPr>
      </w:pPr>
      <w:r>
        <w:rPr>
          <w:rFonts w:ascii="Verdana" w:hAnsi="Verdana"/>
          <w:sz w:val="16"/>
          <w:szCs w:val="16"/>
        </w:rPr>
        <w:t>Elżbieta Woźnicka</w:t>
      </w:r>
      <w:r w:rsidR="00710090" w:rsidRPr="00D74ED1">
        <w:rPr>
          <w:rFonts w:ascii="Verdana" w:hAnsi="Verdana"/>
          <w:sz w:val="16"/>
          <w:szCs w:val="16"/>
        </w:rPr>
        <w:t xml:space="preserve"> – </w:t>
      </w:r>
      <w:r w:rsidR="00E153EA">
        <w:rPr>
          <w:rFonts w:ascii="Verdana" w:hAnsi="Verdana"/>
          <w:sz w:val="16"/>
          <w:szCs w:val="16"/>
        </w:rPr>
        <w:t>Dział</w:t>
      </w:r>
      <w:r w:rsidR="00710090" w:rsidRPr="00D74ED1">
        <w:rPr>
          <w:rFonts w:ascii="Verdana" w:hAnsi="Verdana"/>
          <w:sz w:val="16"/>
          <w:szCs w:val="16"/>
        </w:rPr>
        <w:t xml:space="preserve"> Aparatury Medycznej - tel. 32 67 40 360.</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Pr="00634D63"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sidR="00591020">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634D63" w:rsidRDefault="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Dostawa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sprzętu medycznego </w:t>
      </w:r>
      <w:r w:rsidR="00114A3C">
        <w:rPr>
          <w:rFonts w:ascii="Verdana" w:eastAsia="Times New Roman" w:hAnsi="Verdana"/>
          <w:b/>
          <w:color w:val="000000"/>
          <w:sz w:val="16"/>
          <w:szCs w:val="16"/>
          <w:lang w:eastAsia="pl-PL"/>
        </w:rPr>
        <w:t>–</w:t>
      </w:r>
      <w:r w:rsidR="00832D25">
        <w:rPr>
          <w:rFonts w:ascii="Verdana" w:eastAsia="Times New Roman" w:hAnsi="Verdana"/>
          <w:b/>
          <w:color w:val="000000"/>
          <w:sz w:val="16"/>
          <w:szCs w:val="16"/>
          <w:lang w:eastAsia="pl-PL"/>
        </w:rPr>
        <w:t xml:space="preserve"> </w:t>
      </w:r>
      <w:r w:rsidR="00710090">
        <w:rPr>
          <w:rFonts w:ascii="Verdana" w:eastAsia="Times New Roman" w:hAnsi="Verdana"/>
          <w:b/>
          <w:color w:val="000000"/>
          <w:sz w:val="16"/>
          <w:szCs w:val="16"/>
          <w:lang w:eastAsia="pl-PL"/>
        </w:rPr>
        <w:t>2 pakiety</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634D63">
        <w:rPr>
          <w:rFonts w:ascii="Verdana" w:eastAsia="Times New Roman" w:hAnsi="Verdana"/>
          <w:b/>
          <w:bCs/>
          <w:color w:val="000000"/>
          <w:sz w:val="16"/>
          <w:szCs w:val="16"/>
          <w:lang w:eastAsia="pl-PL"/>
        </w:rPr>
        <w:t>14.</w:t>
      </w:r>
      <w:r w:rsidR="008B3266">
        <w:rPr>
          <w:rFonts w:ascii="Verdana" w:eastAsia="Times New Roman" w:hAnsi="Verdana"/>
          <w:b/>
          <w:bCs/>
          <w:color w:val="000000"/>
          <w:sz w:val="16"/>
          <w:szCs w:val="16"/>
          <w:lang w:eastAsia="pl-PL"/>
        </w:rPr>
        <w:t>02.</w:t>
      </w:r>
      <w:r w:rsidR="005F02A9">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r. 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634D63">
        <w:rPr>
          <w:rFonts w:ascii="Verdana" w:eastAsia="Times New Roman" w:hAnsi="Verdana"/>
          <w:b/>
          <w:bCs/>
          <w:color w:val="000000"/>
          <w:sz w:val="16"/>
          <w:szCs w:val="16"/>
          <w:lang w:eastAsia="pl-PL"/>
        </w:rPr>
        <w:t>14.</w:t>
      </w:r>
      <w:r w:rsidR="008B3266">
        <w:rPr>
          <w:rFonts w:ascii="Verdana" w:eastAsia="Times New Roman" w:hAnsi="Verdana"/>
          <w:b/>
          <w:bCs/>
          <w:color w:val="000000"/>
          <w:sz w:val="16"/>
          <w:szCs w:val="16"/>
          <w:lang w:eastAsia="pl-PL"/>
        </w:rPr>
        <w:t>02</w:t>
      </w:r>
      <w:r w:rsidR="00FB52A6">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14.</w:t>
      </w:r>
      <w:r w:rsidR="008B3266">
        <w:rPr>
          <w:rFonts w:ascii="Verdana" w:eastAsia="Times New Roman" w:hAnsi="Verdana"/>
          <w:b/>
          <w:bCs/>
          <w:color w:val="000000"/>
          <w:sz w:val="16"/>
          <w:szCs w:val="16"/>
          <w:lang w:eastAsia="pl-PL"/>
        </w:rPr>
        <w:t>02</w:t>
      </w:r>
      <w:r w:rsidR="00FB52A6">
        <w:rPr>
          <w:rFonts w:ascii="Verdana" w:eastAsia="Times New Roman" w:hAnsi="Verdana"/>
          <w:b/>
          <w:bCs/>
          <w:color w:val="000000"/>
          <w:sz w:val="16"/>
          <w:szCs w:val="16"/>
          <w:lang w:eastAsia="pl-PL"/>
        </w:rPr>
        <w:t xml:space="preserve">.2018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Default="00882479">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lastRenderedPageBreak/>
        <w:t>b. termin płatności prawidłowo wystawionej i dostarczonej faktury Vat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FB52A6" w:rsidRPr="00FB52A6" w:rsidRDefault="00FB52A6" w:rsidP="00FB52A6">
      <w:pPr>
        <w:spacing w:after="0" w:line="240" w:lineRule="auto"/>
        <w:jc w:val="both"/>
        <w:rPr>
          <w:rFonts w:ascii="Verdana" w:eastAsia="Times New Roman" w:hAnsi="Verdana"/>
          <w:b/>
          <w:bCs/>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D2" w:rsidRDefault="002537D2">
      <w:pPr>
        <w:spacing w:after="0" w:line="240" w:lineRule="auto"/>
      </w:pPr>
      <w:r>
        <w:separator/>
      </w:r>
    </w:p>
  </w:endnote>
  <w:endnote w:type="continuationSeparator" w:id="0">
    <w:p w:rsidR="002537D2" w:rsidRDefault="0025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6B1F3E">
      <w:rPr>
        <w:noProof/>
      </w:rPr>
      <w:t>2</w:t>
    </w:r>
    <w:r>
      <w:fldChar w:fldCharType="end"/>
    </w:r>
    <w:r>
      <w:t xml:space="preserve"> z </w:t>
    </w:r>
    <w:r>
      <w:fldChar w:fldCharType="begin"/>
    </w:r>
    <w:r>
      <w:instrText>NUMPAGES</w:instrText>
    </w:r>
    <w:r>
      <w:fldChar w:fldCharType="separate"/>
    </w:r>
    <w:r w:rsidR="006B1F3E">
      <w:rPr>
        <w:noProof/>
      </w:rPr>
      <w:t>7</w:t>
    </w:r>
    <w:r>
      <w:fldChar w:fldCharType="end"/>
    </w:r>
  </w:p>
  <w:p w:rsidR="00E10351" w:rsidRDefault="00E10351">
    <w:pPr>
      <w:pStyle w:val="Stopka1"/>
    </w:pPr>
    <w:bookmarkStart w:id="4" w:name="__UnoMark__4045_175756287"/>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D2" w:rsidRDefault="002537D2">
      <w:pPr>
        <w:spacing w:after="0" w:line="240" w:lineRule="auto"/>
      </w:pPr>
      <w:r>
        <w:separator/>
      </w:r>
    </w:p>
  </w:footnote>
  <w:footnote w:type="continuationSeparator" w:id="0">
    <w:p w:rsidR="002537D2" w:rsidRDefault="00253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882479">
    <w:pPr>
      <w:pStyle w:val="Nagwek1"/>
    </w:pPr>
    <w:r>
      <w:t>DZP/PN/</w:t>
    </w:r>
    <w:r w:rsidR="006E3DC2">
      <w:t>6/2018</w:t>
    </w:r>
  </w:p>
  <w:p w:rsidR="00E10351" w:rsidRDefault="00E10351">
    <w:pPr>
      <w:pStyle w:val="Nagwek1"/>
    </w:pPr>
  </w:p>
  <w:p w:rsidR="00E10351" w:rsidRDefault="00E10351">
    <w:pPr>
      <w:pStyle w:val="Nagwek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6E3D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7404D"/>
    <w:rsid w:val="000F5B07"/>
    <w:rsid w:val="00106A5A"/>
    <w:rsid w:val="00114A3C"/>
    <w:rsid w:val="001304B4"/>
    <w:rsid w:val="002537D2"/>
    <w:rsid w:val="0028044E"/>
    <w:rsid w:val="0028127A"/>
    <w:rsid w:val="00286C9A"/>
    <w:rsid w:val="002C282A"/>
    <w:rsid w:val="002D5801"/>
    <w:rsid w:val="002E3A0E"/>
    <w:rsid w:val="002E3A8D"/>
    <w:rsid w:val="002E76B9"/>
    <w:rsid w:val="00323AD1"/>
    <w:rsid w:val="00334B17"/>
    <w:rsid w:val="0038780E"/>
    <w:rsid w:val="003973F9"/>
    <w:rsid w:val="003D035B"/>
    <w:rsid w:val="00423DB7"/>
    <w:rsid w:val="00435ED6"/>
    <w:rsid w:val="00435EDF"/>
    <w:rsid w:val="004362F9"/>
    <w:rsid w:val="004523E1"/>
    <w:rsid w:val="0047295C"/>
    <w:rsid w:val="004A35BD"/>
    <w:rsid w:val="004A6348"/>
    <w:rsid w:val="004D4F14"/>
    <w:rsid w:val="00501071"/>
    <w:rsid w:val="00550D7C"/>
    <w:rsid w:val="0056114D"/>
    <w:rsid w:val="00591020"/>
    <w:rsid w:val="005F0163"/>
    <w:rsid w:val="005F02A9"/>
    <w:rsid w:val="00634D63"/>
    <w:rsid w:val="00645D2A"/>
    <w:rsid w:val="006A1B60"/>
    <w:rsid w:val="006B1F3E"/>
    <w:rsid w:val="006E3DC2"/>
    <w:rsid w:val="00710090"/>
    <w:rsid w:val="007811C3"/>
    <w:rsid w:val="007A74E7"/>
    <w:rsid w:val="007B01CC"/>
    <w:rsid w:val="007C7BD1"/>
    <w:rsid w:val="007D2E3D"/>
    <w:rsid w:val="007D7AF9"/>
    <w:rsid w:val="00803B88"/>
    <w:rsid w:val="008322F4"/>
    <w:rsid w:val="00832D25"/>
    <w:rsid w:val="00882479"/>
    <w:rsid w:val="00892072"/>
    <w:rsid w:val="0089474C"/>
    <w:rsid w:val="008B3266"/>
    <w:rsid w:val="008C2533"/>
    <w:rsid w:val="009756D8"/>
    <w:rsid w:val="00985922"/>
    <w:rsid w:val="0099449F"/>
    <w:rsid w:val="009A0F86"/>
    <w:rsid w:val="009F61D3"/>
    <w:rsid w:val="00A83C3A"/>
    <w:rsid w:val="00AC3CA2"/>
    <w:rsid w:val="00B4238B"/>
    <w:rsid w:val="00B95352"/>
    <w:rsid w:val="00BA500D"/>
    <w:rsid w:val="00BD0543"/>
    <w:rsid w:val="00C0641E"/>
    <w:rsid w:val="00C635B9"/>
    <w:rsid w:val="00CD0B09"/>
    <w:rsid w:val="00CD2B12"/>
    <w:rsid w:val="00CF0E06"/>
    <w:rsid w:val="00CF3E19"/>
    <w:rsid w:val="00D416B1"/>
    <w:rsid w:val="00D4762C"/>
    <w:rsid w:val="00D53C4D"/>
    <w:rsid w:val="00DC7799"/>
    <w:rsid w:val="00E050F8"/>
    <w:rsid w:val="00E10351"/>
    <w:rsid w:val="00E153EA"/>
    <w:rsid w:val="00E838CC"/>
    <w:rsid w:val="00E91017"/>
    <w:rsid w:val="00EC1BC4"/>
    <w:rsid w:val="00F3530C"/>
    <w:rsid w:val="00F90D77"/>
    <w:rsid w:val="00F93647"/>
    <w:rsid w:val="00FB52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6C3BD-7E48-4E53-BE87-D2A111BB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61</cp:revision>
  <cp:lastPrinted>2018-02-02T09:58:00Z</cp:lastPrinted>
  <dcterms:created xsi:type="dcterms:W3CDTF">2017-06-27T12:57:00Z</dcterms:created>
  <dcterms:modified xsi:type="dcterms:W3CDTF">2018-02-02T13:20:00Z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